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34" w:type="dxa"/>
        <w:tblInd w:w="108" w:type="dxa"/>
        <w:tblLayout w:type="fixed"/>
        <w:tblLook w:val="0000" w:firstRow="0" w:lastRow="0" w:firstColumn="0" w:lastColumn="0" w:noHBand="0" w:noVBand="0"/>
      </w:tblPr>
      <w:tblGrid>
        <w:gridCol w:w="6096"/>
        <w:gridCol w:w="7938"/>
      </w:tblGrid>
      <w:tr>
        <w:trPr>
          <w:trHeight w:val="474"/>
        </w:trPr>
        <w:tc>
          <w:tcPr>
            <w:tcW w:w="6096" w:type="dxa"/>
            <w:vAlign w:val="center"/>
          </w:tcPr>
          <w:p>
            <w:pPr>
              <w:tabs>
                <w:tab w:val="left" w:pos="1843"/>
                <w:tab w:val="left" w:pos="3828"/>
                <w:tab w:val="left" w:pos="5954"/>
              </w:tabs>
              <w:spacing w:after="0" w:line="240"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UBND TỈNH THANH HÓA</w:t>
            </w:r>
          </w:p>
          <w:p>
            <w:pPr>
              <w:spacing w:after="0" w:line="240" w:lineRule="auto"/>
              <w:jc w:val="center"/>
              <w:rPr>
                <w:rFonts w:ascii="Times New Roman" w:hAnsi="Times New Roman" w:cs="Times New Roman"/>
                <w:b/>
                <w:bCs/>
                <w:sz w:val="28"/>
                <w:szCs w:val="28"/>
              </w:rPr>
            </w:pPr>
            <w:r>
              <w:rPr>
                <w:rFonts w:ascii="Times New Roman" w:hAnsi="Times New Roman" w:cs="Times New Roman"/>
                <w:b/>
                <w:spacing w:val="-4"/>
                <w:sz w:val="28"/>
                <w:szCs w:val="28"/>
              </w:rPr>
              <w:t>SỞ NỘI VỤ</w:t>
            </w:r>
          </w:p>
        </w:tc>
        <w:tc>
          <w:tcPr>
            <w:tcW w:w="7938" w:type="dxa"/>
            <w:vAlign w:val="center"/>
          </w:tcPr>
          <w:p>
            <w:pPr>
              <w:tabs>
                <w:tab w:val="left" w:pos="1843"/>
                <w:tab w:val="left" w:pos="3828"/>
                <w:tab w:val="left" w:pos="5954"/>
              </w:tabs>
              <w:spacing w:after="0" w:line="240" w:lineRule="auto"/>
              <w:jc w:val="center"/>
              <w:rPr>
                <w:rFonts w:ascii="Times New Roman" w:hAnsi="Times New Roman" w:cs="Times New Roman"/>
                <w:b/>
                <w:bCs/>
                <w:spacing w:val="-4"/>
                <w:sz w:val="26"/>
                <w:szCs w:val="26"/>
              </w:rPr>
            </w:pPr>
            <w:r>
              <w:rPr>
                <w:rFonts w:ascii="Times New Roman" w:hAnsi="Times New Roman" w:cs="Times New Roman"/>
                <w:b/>
                <w:bCs/>
                <w:spacing w:val="-4"/>
                <w:sz w:val="26"/>
                <w:szCs w:val="26"/>
              </w:rPr>
              <w:t>CỘNG HOÀ XÃ HỘI CHỦ NGHĨA VIỆT NAM</w:t>
            </w:r>
          </w:p>
          <w:p>
            <w:pPr>
              <w:tabs>
                <w:tab w:val="left" w:pos="1843"/>
                <w:tab w:val="left" w:pos="3828"/>
                <w:tab w:val="left" w:pos="5954"/>
              </w:tabs>
              <w:spacing w:after="0" w:line="240" w:lineRule="auto"/>
              <w:jc w:val="center"/>
              <w:rPr>
                <w:rFonts w:ascii="Times New Roman" w:hAnsi="Times New Roman" w:cs="Times New Roman"/>
                <w:b/>
                <w:bCs/>
                <w:sz w:val="28"/>
                <w:szCs w:val="28"/>
              </w:rPr>
            </w:pPr>
            <w:r>
              <w:rPr>
                <w:rFonts w:ascii="Times New Roman" w:hAnsi="Times New Roman" w:cs="Times New Roman"/>
                <w:b/>
                <w:bCs/>
                <w:spacing w:val="-4"/>
                <w:sz w:val="28"/>
                <w:szCs w:val="28"/>
              </w:rPr>
              <w:t>Độc lập - Tự do - Hạnh phúc</w:t>
            </w:r>
          </w:p>
        </w:tc>
      </w:tr>
      <w:tr>
        <w:trPr>
          <w:trHeight w:val="506"/>
        </w:trPr>
        <w:tc>
          <w:tcPr>
            <w:tcW w:w="6096" w:type="dxa"/>
          </w:tcPr>
          <w:p>
            <w:pPr>
              <w:spacing w:before="120"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1605915</wp:posOffset>
                      </wp:positionH>
                      <wp:positionV relativeFrom="paragraph">
                        <wp:posOffset>26670</wp:posOffset>
                      </wp:positionV>
                      <wp:extent cx="476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2.1pt" to="163.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" strokeweight="1pt"/>
                  </w:pict>
                </mc:Fallback>
              </mc:AlternateContent>
            </w:r>
          </w:p>
        </w:tc>
        <w:tc>
          <w:tcPr>
            <w:tcW w:w="7938" w:type="dxa"/>
          </w:tcPr>
          <w:p>
            <w:pPr>
              <w:spacing w:before="120" w:after="0" w:line="240" w:lineRule="auto"/>
              <w:jc w:val="center"/>
              <w:rPr>
                <w:rFonts w:ascii="Times New Roman" w:hAnsi="Times New Roman" w:cs="Times New Roman"/>
                <w:i/>
                <w:iCs/>
                <w:sz w:val="28"/>
                <w:szCs w:val="28"/>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1406525</wp:posOffset>
                      </wp:positionH>
                      <wp:positionV relativeFrom="paragraph">
                        <wp:posOffset>16510</wp:posOffset>
                      </wp:positionV>
                      <wp:extent cx="21101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75pt,1.3pt" to="276.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" strokeweight="1pt"/>
                  </w:pict>
                </mc:Fallback>
              </mc:AlternateContent>
            </w:r>
            <w:r>
              <w:rPr>
                <w:rFonts w:ascii="Times New Roman" w:hAnsi="Times New Roman" w:cs="Times New Roman"/>
                <w:i/>
                <w:iCs/>
                <w:sz w:val="26"/>
                <w:szCs w:val="26"/>
              </w:rPr>
              <w:t xml:space="preserve">     </w:t>
            </w:r>
            <w:r>
              <w:rPr>
                <w:rFonts w:ascii="Times New Roman" w:hAnsi="Times New Roman" w:cs="Times New Roman"/>
                <w:i/>
                <w:iCs/>
                <w:sz w:val="28"/>
                <w:szCs w:val="28"/>
              </w:rPr>
              <w:t>Thanh Hoá, ngày      tháng      năm 2025</w:t>
            </w:r>
          </w:p>
        </w:tc>
      </w:tr>
    </w:tbl>
    <w:p>
      <w:pPr>
        <w:spacing w:after="0"/>
        <w:jc w:val="center"/>
        <w:rPr>
          <w:rStyle w:val="fontstyle01"/>
        </w:rPr>
      </w:pPr>
    </w:p>
    <w:p>
      <w:pPr>
        <w:spacing w:after="0"/>
        <w:jc w:val="center"/>
        <w:rPr>
          <w:rStyle w:val="fontstyle01"/>
        </w:rPr>
      </w:pPr>
      <w:r>
        <w:rPr>
          <w:rStyle w:val="fontstyle01"/>
        </w:rPr>
        <w:t>BẢN TỔNG HỢP</w:t>
      </w:r>
      <w:r>
        <w:rPr>
          <w:b/>
          <w:bCs/>
          <w:color w:val="000000"/>
          <w:sz w:val="28"/>
          <w:szCs w:val="28"/>
        </w:rPr>
        <w:br/>
      </w:r>
      <w:r>
        <w:rPr>
          <w:rStyle w:val="fontstyle01"/>
        </w:rPr>
        <w:t>TIẾP THU, GIẢI TRÌNH Ý KIẾN GÓP Ý CỦA CÁC CƠ QUAN, ĐƠN VỊ, ĐỊA PHƯƠNG ĐỐI VỚI DỰ THẢO QUYẾT ĐỊNH BAN HÀNH QUY ĐỊNH VỀ CÔNG TÁC THI ĐUA, KHEN THƯỞNG TRÊN ĐỊA BÀN</w:t>
      </w:r>
    </w:p>
    <w:p>
      <w:pPr>
        <w:spacing w:after="0"/>
        <w:jc w:val="center"/>
        <w:rPr>
          <w:rStyle w:val="fontstyle01"/>
          <w:b w:val="0"/>
          <w:i/>
        </w:rPr>
      </w:pPr>
      <w:r>
        <w:rPr>
          <w:rStyle w:val="fontstyle01"/>
        </w:rPr>
        <w:t>TỈNH THANH HÓA</w:t>
      </w:r>
    </w:p>
    <w:p>
      <w:pPr>
        <w:spacing w:before="480"/>
        <w:ind w:firstLine="720"/>
        <w:jc w:val="both"/>
        <w:rPr>
          <w:rStyle w:val="fontstyle01"/>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4037965</wp:posOffset>
                </wp:positionH>
                <wp:positionV relativeFrom="paragraph">
                  <wp:posOffset>32385</wp:posOffset>
                </wp:positionV>
                <wp:extent cx="8128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5pt,2.55pt" to="38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" strokeweight="1pt"/>
            </w:pict>
          </mc:Fallback>
        </mc:AlternateContent>
      </w:r>
      <w:r>
        <w:rPr>
          <w:rStyle w:val="fontstyle01"/>
        </w:rPr>
        <w:t>Tổng số: 23 nội dung góp ý (tiếp thu 11 nội dung, giải trình 12 nội dung)</w:t>
      </w:r>
    </w:p>
    <w:tbl>
      <w:tblPr>
        <w:tblStyle w:val="TableGrid"/>
        <w:tblW w:w="14221" w:type="dxa"/>
        <w:tblLook w:val="04A0" w:firstRow="1" w:lastRow="0" w:firstColumn="1" w:lastColumn="0" w:noHBand="0" w:noVBand="1"/>
      </w:tblPr>
      <w:tblGrid>
        <w:gridCol w:w="746"/>
        <w:gridCol w:w="1900"/>
        <w:gridCol w:w="3021"/>
        <w:gridCol w:w="3543"/>
        <w:gridCol w:w="5011"/>
      </w:tblGrid>
      <w:tr>
        <w:trPr>
          <w:tblHeader/>
        </w:trPr>
        <w:tc>
          <w:tcPr>
            <w:tcW w:w="746" w:type="dxa"/>
          </w:tcPr>
          <w:p>
            <w:pPr>
              <w:spacing w:before="120" w:after="120"/>
              <w:jc w:val="center"/>
              <w:rPr>
                <w:rStyle w:val="fontstyle01"/>
              </w:rPr>
            </w:pPr>
            <w:r>
              <w:rPr>
                <w:rStyle w:val="fontstyle01"/>
              </w:rPr>
              <w:t>STT</w:t>
            </w:r>
          </w:p>
        </w:tc>
        <w:tc>
          <w:tcPr>
            <w:tcW w:w="1900" w:type="dxa"/>
          </w:tcPr>
          <w:p>
            <w:pPr>
              <w:spacing w:before="120" w:after="120"/>
              <w:jc w:val="center"/>
              <w:rPr>
                <w:rStyle w:val="fontstyle01"/>
              </w:rPr>
            </w:pPr>
            <w:r>
              <w:rPr>
                <w:rStyle w:val="fontstyle01"/>
              </w:rPr>
              <w:t>Vấn đề</w:t>
            </w:r>
          </w:p>
        </w:tc>
        <w:tc>
          <w:tcPr>
            <w:tcW w:w="3021" w:type="dxa"/>
          </w:tcPr>
          <w:p>
            <w:pPr>
              <w:spacing w:before="120" w:after="120"/>
              <w:jc w:val="center"/>
              <w:rPr>
                <w:rStyle w:val="fontstyle01"/>
              </w:rPr>
            </w:pPr>
            <w:r>
              <w:rPr>
                <w:rStyle w:val="fontstyle01"/>
              </w:rPr>
              <w:t>Đơn vị góp ý</w:t>
            </w:r>
          </w:p>
        </w:tc>
        <w:tc>
          <w:tcPr>
            <w:tcW w:w="3543" w:type="dxa"/>
          </w:tcPr>
          <w:p>
            <w:pPr>
              <w:spacing w:before="120" w:after="120"/>
              <w:jc w:val="center"/>
              <w:rPr>
                <w:rStyle w:val="fontstyle01"/>
              </w:rPr>
            </w:pPr>
            <w:r>
              <w:rPr>
                <w:rStyle w:val="fontstyle01"/>
              </w:rPr>
              <w:t>Nội dung góp ý</w:t>
            </w:r>
          </w:p>
        </w:tc>
        <w:tc>
          <w:tcPr>
            <w:tcW w:w="5011" w:type="dxa"/>
          </w:tcPr>
          <w:p>
            <w:pPr>
              <w:spacing w:before="120" w:after="120"/>
              <w:jc w:val="center"/>
              <w:rPr>
                <w:rStyle w:val="fontstyle01"/>
              </w:rPr>
            </w:pPr>
            <w:r>
              <w:rPr>
                <w:rStyle w:val="fontstyle01"/>
              </w:rPr>
              <w:t>Ý kiến tiếp thu, giải trình</w:t>
            </w:r>
          </w:p>
        </w:tc>
      </w:tr>
      <w:tr>
        <w:tc>
          <w:tcPr>
            <w:tcW w:w="746" w:type="dxa"/>
            <w:vMerge w:val="restart"/>
            <w:vAlign w:val="center"/>
          </w:tcPr>
          <w:p>
            <w:pPr>
              <w:pStyle w:val="ListParagraph"/>
              <w:numPr>
                <w:ilvl w:val="0"/>
                <w:numId w:val="1"/>
              </w:numPr>
              <w:spacing w:before="60" w:after="60"/>
              <w:jc w:val="center"/>
              <w:rPr>
                <w:rStyle w:val="fontstyle01"/>
                <w:b w:val="0"/>
              </w:rPr>
            </w:pPr>
          </w:p>
        </w:tc>
        <w:tc>
          <w:tcPr>
            <w:tcW w:w="1900" w:type="dxa"/>
            <w:vMerge w:val="restart"/>
            <w:vAlign w:val="center"/>
          </w:tcPr>
          <w:p>
            <w:pPr>
              <w:spacing w:before="60" w:after="60"/>
              <w:jc w:val="both"/>
              <w:rPr>
                <w:rStyle w:val="fontstyle01"/>
                <w:b w:val="0"/>
              </w:rPr>
            </w:pPr>
            <w:r>
              <w:rPr>
                <w:rFonts w:ascii="Times New Roman" w:eastAsia="Times New Roman" w:hAnsi="Times New Roman" w:cs="Times New Roman"/>
                <w:b/>
                <w:bCs/>
                <w:color w:val="000000"/>
                <w:sz w:val="28"/>
                <w:szCs w:val="28"/>
              </w:rPr>
              <w:t>Về thể thức và kỹ thuật trình trình bày</w:t>
            </w:r>
          </w:p>
        </w:tc>
        <w:tc>
          <w:tcPr>
            <w:tcW w:w="3021" w:type="dxa"/>
          </w:tcPr>
          <w:p>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themeColor="text1"/>
                <w:sz w:val="28"/>
                <w:szCs w:val="28"/>
              </w:rPr>
              <w:t>Sở Tài chính</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(tại Công văn số 11156/STC-VP ngày 27/10/2025)</w:t>
            </w:r>
          </w:p>
        </w:tc>
        <w:tc>
          <w:tcPr>
            <w:tcW w:w="3543" w:type="dxa"/>
          </w:tcPr>
          <w:p>
            <w:pPr>
              <w:spacing w:before="60" w:after="60"/>
              <w:jc w:val="both"/>
              <w:rPr>
                <w:rStyle w:val="fontstyle01"/>
                <w:rFonts w:eastAsia="Times New Roman"/>
                <w:b w:val="0"/>
                <w:bCs w:val="0"/>
                <w:i/>
              </w:rPr>
            </w:pPr>
            <w:r>
              <w:rPr>
                <w:rFonts w:ascii="Times New Roman" w:hAnsi="Times New Roman" w:cs="Times New Roman"/>
                <w:color w:val="000000"/>
                <w:sz w:val="28"/>
                <w:szCs w:val="28"/>
              </w:rPr>
              <w:t>Đề</w:t>
            </w:r>
            <w:r>
              <w:rPr>
                <w:color w:val="000000"/>
                <w:sz w:val="28"/>
                <w:szCs w:val="28"/>
              </w:rPr>
              <w:t xml:space="preserve"> </w:t>
            </w:r>
            <w:r>
              <w:rPr>
                <w:rFonts w:ascii="Times New Roman" w:hAnsi="Times New Roman" w:cs="Times New Roman"/>
                <w:color w:val="000000"/>
                <w:sz w:val="28"/>
                <w:szCs w:val="28"/>
              </w:rPr>
              <w:t>nghị Sở Nội vụ căn cứ Mẫu số 20 Phụ lục số III Nghị định số 78/2025/NĐ-CP</w:t>
            </w:r>
            <w:r>
              <w:rPr>
                <w:color w:val="000000"/>
                <w:sz w:val="28"/>
                <w:szCs w:val="28"/>
              </w:rPr>
              <w:t xml:space="preserve"> </w:t>
            </w:r>
            <w:r>
              <w:rPr>
                <w:rFonts w:ascii="Times New Roman" w:hAnsi="Times New Roman" w:cs="Times New Roman"/>
                <w:color w:val="000000"/>
                <w:sz w:val="28"/>
                <w:szCs w:val="28"/>
              </w:rPr>
              <w:t>ngày 01/4/2025 của Chính phủ quy định chi tiết một số điều và biện pháp để tổ</w:t>
            </w:r>
            <w:r>
              <w:rPr>
                <w:color w:val="000000"/>
                <w:sz w:val="28"/>
                <w:szCs w:val="28"/>
              </w:rPr>
              <w:t xml:space="preserve"> </w:t>
            </w:r>
            <w:r>
              <w:rPr>
                <w:rFonts w:ascii="Times New Roman" w:hAnsi="Times New Roman" w:cs="Times New Roman"/>
                <w:color w:val="000000"/>
                <w:sz w:val="28"/>
                <w:szCs w:val="28"/>
              </w:rPr>
              <w:t>chức, hướng dẫn thi hành Luật Ban hành văn bản quy phạm pháp luật để hoàn</w:t>
            </w:r>
            <w:r>
              <w:rPr>
                <w:color w:val="000000"/>
                <w:sz w:val="28"/>
                <w:szCs w:val="28"/>
              </w:rPr>
              <w:br/>
            </w:r>
            <w:r>
              <w:rPr>
                <w:rFonts w:ascii="Times New Roman" w:hAnsi="Times New Roman" w:cs="Times New Roman"/>
                <w:color w:val="000000"/>
                <w:sz w:val="28"/>
                <w:szCs w:val="28"/>
              </w:rPr>
              <w:t>chỉnh đảm bảo quy định.</w:t>
            </w:r>
          </w:p>
        </w:tc>
        <w:tc>
          <w:tcPr>
            <w:tcW w:w="5011" w:type="dxa"/>
            <w:vAlign w:val="center"/>
          </w:tcPr>
          <w:p>
            <w:pPr>
              <w:spacing w:before="60" w:after="60"/>
              <w:jc w:val="center"/>
              <w:rPr>
                <w:rStyle w:val="fontstyle01"/>
              </w:rPr>
            </w:pPr>
            <w:r>
              <w:rPr>
                <w:rFonts w:ascii="Times New Roman" w:eastAsia="Times New Roman" w:hAnsi="Times New Roman" w:cs="Times New Roman"/>
                <w:bCs/>
                <w:color w:val="000000"/>
                <w:sz w:val="28"/>
                <w:szCs w:val="28"/>
              </w:rPr>
              <w:t>Đã tiếp thu vào dự thảo</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val="restart"/>
          </w:tcPr>
          <w:p>
            <w:pPr>
              <w:spacing w:before="60" w:after="60"/>
              <w:jc w:val="both"/>
              <w:rPr>
                <w:rStyle w:val="fontstyle01"/>
                <w:b w:val="0"/>
              </w:rPr>
            </w:pPr>
            <w:r>
              <w:rPr>
                <w:rFonts w:ascii="Times New Roman" w:hAnsi="Times New Roman" w:cs="Times New Roman"/>
                <w:b/>
                <w:color w:val="000000"/>
                <w:sz w:val="28"/>
                <w:szCs w:val="28"/>
              </w:rPr>
              <w:t>Sở Giáo dục và Đào tạo</w:t>
            </w:r>
            <w:r>
              <w:rPr>
                <w:rFonts w:ascii="Times New Roman" w:hAnsi="Times New Roman" w:cs="Times New Roman"/>
                <w:color w:val="000000"/>
                <w:sz w:val="28"/>
                <w:szCs w:val="28"/>
              </w:rPr>
              <w:t xml:space="preserve"> (tại Công số 4068/SGDĐT-TCCB </w:t>
            </w:r>
            <w:r>
              <w:rPr>
                <w:rFonts w:ascii="Times New Roman" w:hAnsi="Times New Roman" w:cs="Times New Roman"/>
                <w:color w:val="000000"/>
                <w:sz w:val="28"/>
                <w:szCs w:val="28"/>
              </w:rPr>
              <w:lastRenderedPageBreak/>
              <w:t>ngày 22/10/2025)</w:t>
            </w:r>
          </w:p>
        </w:tc>
        <w:tc>
          <w:tcPr>
            <w:tcW w:w="3543" w:type="dxa"/>
            <w:vAlign w:val="center"/>
          </w:tcPr>
          <w:p>
            <w:pPr>
              <w:spacing w:before="60" w:after="60"/>
              <w:jc w:val="both"/>
              <w:rPr>
                <w:rStyle w:val="fontstyle01"/>
                <w:b w:val="0"/>
                <w:bCs w:val="0"/>
              </w:rPr>
            </w:pPr>
            <w:r>
              <w:rPr>
                <w:rFonts w:ascii="Times New Roman" w:hAnsi="Times New Roman" w:cs="Times New Roman"/>
                <w:color w:val="000000"/>
                <w:sz w:val="28"/>
                <w:szCs w:val="28"/>
              </w:rPr>
              <w:lastRenderedPageBreak/>
              <w:t>1. Đối với viện dẫn các văn bản quy phạm pháp luật:</w:t>
            </w:r>
            <w:r>
              <w:rPr>
                <w:color w:val="000000"/>
                <w:sz w:val="28"/>
                <w:szCs w:val="28"/>
              </w:rPr>
              <w:br/>
            </w:r>
            <w:r>
              <w:rPr>
                <w:rFonts w:ascii="Times New Roman" w:hAnsi="Times New Roman" w:cs="Times New Roman"/>
                <w:color w:val="000000"/>
                <w:sz w:val="28"/>
                <w:szCs w:val="28"/>
              </w:rPr>
              <w:t xml:space="preserve">Đề nghị nghiên cứu sửa một số căn cứ viên dẫn theo quy </w:t>
            </w:r>
            <w:r>
              <w:rPr>
                <w:rFonts w:ascii="Times New Roman" w:hAnsi="Times New Roman" w:cs="Times New Roman"/>
                <w:color w:val="000000"/>
                <w:sz w:val="28"/>
                <w:szCs w:val="28"/>
              </w:rPr>
              <w:lastRenderedPageBreak/>
              <w:t>định tại Nghị định</w:t>
            </w:r>
            <w:r>
              <w:rPr>
                <w:color w:val="000000"/>
                <w:sz w:val="28"/>
                <w:szCs w:val="28"/>
              </w:rPr>
              <w:br/>
            </w:r>
            <w:r>
              <w:rPr>
                <w:rFonts w:ascii="Times New Roman" w:hAnsi="Times New Roman" w:cs="Times New Roman"/>
                <w:color w:val="000000"/>
                <w:sz w:val="28"/>
                <w:szCs w:val="28"/>
              </w:rPr>
              <w:t>số 78/2025/NĐ-CP ngày 01/4/2025 của Chính phủ quy định chi tiết một số điều</w:t>
            </w:r>
            <w:r>
              <w:rPr>
                <w:color w:val="000000"/>
                <w:sz w:val="28"/>
                <w:szCs w:val="28"/>
              </w:rPr>
              <w:br/>
            </w:r>
            <w:r>
              <w:rPr>
                <w:rFonts w:ascii="Times New Roman" w:hAnsi="Times New Roman" w:cs="Times New Roman"/>
                <w:color w:val="000000"/>
                <w:sz w:val="28"/>
                <w:szCs w:val="28"/>
              </w:rPr>
              <w:t>và biện pháp để tổ chức, hướng dẫn thi hành Luât Ban hành văn bản quy phạm</w:t>
            </w:r>
            <w:r>
              <w:rPr>
                <w:color w:val="000000"/>
                <w:sz w:val="28"/>
                <w:szCs w:val="28"/>
              </w:rPr>
              <w:br/>
            </w:r>
            <w:r>
              <w:rPr>
                <w:rFonts w:ascii="Times New Roman" w:hAnsi="Times New Roman" w:cs="Times New Roman"/>
                <w:color w:val="000000"/>
                <w:sz w:val="28"/>
                <w:szCs w:val="28"/>
              </w:rPr>
              <w:t>pháp luât được sửa đổi, bổ sung bởi Nghị định số 187/2025/NĐ-CP.</w:t>
            </w:r>
          </w:p>
        </w:tc>
        <w:tc>
          <w:tcPr>
            <w:tcW w:w="5011" w:type="dxa"/>
            <w:vAlign w:val="center"/>
          </w:tcPr>
          <w:p>
            <w:pPr>
              <w:spacing w:before="60" w:after="60"/>
              <w:jc w:val="center"/>
              <w:rPr>
                <w:rStyle w:val="fontstyle01"/>
                <w:b w:val="0"/>
              </w:rPr>
            </w:pPr>
            <w:r>
              <w:rPr>
                <w:rFonts w:ascii="Times New Roman" w:eastAsia="Times New Roman" w:hAnsi="Times New Roman" w:cs="Times New Roman"/>
                <w:bCs/>
                <w:color w:val="000000"/>
                <w:sz w:val="28"/>
                <w:szCs w:val="28"/>
              </w:rPr>
              <w:lastRenderedPageBreak/>
              <w:t>Đã tiếp thu vào dự thảo</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tcPr>
          <w:p>
            <w:pPr>
              <w:spacing w:before="60" w:after="60"/>
              <w:jc w:val="both"/>
              <w:rPr>
                <w:rFonts w:ascii="Times New Roman" w:eastAsia="Times New Roman" w:hAnsi="Times New Roman" w:cs="Times New Roman"/>
                <w:bCs/>
                <w:sz w:val="28"/>
                <w:szCs w:val="28"/>
              </w:rPr>
            </w:pPr>
          </w:p>
        </w:tc>
        <w:tc>
          <w:tcPr>
            <w:tcW w:w="3543" w:type="dxa"/>
          </w:tcPr>
          <w:p>
            <w:pPr>
              <w:spacing w:before="60" w:after="60"/>
              <w:jc w:val="both"/>
              <w:rPr>
                <w:rFonts w:ascii="Times New Roman" w:hAnsi="Times New Roman" w:cs="Times New Roman"/>
                <w:color w:val="000000"/>
                <w:sz w:val="28"/>
                <w:szCs w:val="28"/>
              </w:rPr>
            </w:pPr>
            <w:r>
              <w:rPr>
                <w:rFonts w:ascii="Times New Roman" w:hAnsi="Times New Roman" w:cs="Times New Roman"/>
                <w:color w:val="000000"/>
                <w:sz w:val="28"/>
                <w:szCs w:val="28"/>
              </w:rPr>
              <w:t>2. Về thể thức trình bày</w:t>
            </w:r>
            <w:r>
              <w:rPr>
                <w:color w:val="000000"/>
                <w:sz w:val="28"/>
                <w:szCs w:val="28"/>
              </w:rPr>
              <w:br/>
            </w:r>
            <w:r>
              <w:rPr>
                <w:rFonts w:ascii="Times New Roman" w:hAnsi="Times New Roman" w:cs="Times New Roman"/>
                <w:color w:val="000000"/>
                <w:sz w:val="28"/>
                <w:szCs w:val="28"/>
              </w:rPr>
              <w:t>Thực hiên theo Mẫu số 20 (Quyết định của Ủy ban nhân dân các cấp ban hành Quy định/Quy chế...), Nghị định số 187/2025/NĐ-CP ngày 01/7/2025 của Chính phủ. Ví dụ:</w:t>
            </w:r>
            <w:r>
              <w:rPr>
                <w:color w:val="000000"/>
                <w:sz w:val="28"/>
                <w:szCs w:val="28"/>
              </w:rPr>
              <w:br/>
            </w:r>
            <w:r>
              <w:rPr>
                <w:rFonts w:ascii="Times New Roman" w:hAnsi="Times New Roman" w:cs="Times New Roman"/>
                <w:color w:val="000000"/>
                <w:sz w:val="28"/>
                <w:szCs w:val="28"/>
              </w:rPr>
              <w:t>- Trước các Điều 1, Điều 2, Điều 3 trong dự thảo Quyết định của Ủy ban nhân dân tỉnh không còn cụm từ “QUYẾT ĐỊNH:”</w:t>
            </w:r>
          </w:p>
          <w:p>
            <w:pPr>
              <w:spacing w:before="60" w:after="60"/>
              <w:jc w:val="both"/>
              <w:rPr>
                <w:rStyle w:val="fontstyle01"/>
                <w:b w:val="0"/>
                <w:bCs w:val="0"/>
              </w:rPr>
            </w:pPr>
            <w:r>
              <w:rPr>
                <w:rFonts w:ascii="Times New Roman" w:hAnsi="Times New Roman" w:cs="Times New Roman"/>
                <w:color w:val="000000"/>
                <w:sz w:val="28"/>
                <w:szCs w:val="28"/>
              </w:rPr>
              <w:t xml:space="preserve">- Bổ sung cụm từ: </w:t>
            </w:r>
            <w:r>
              <w:rPr>
                <w:rFonts w:ascii="Times New Roman" w:hAnsi="Times New Roman" w:cs="Times New Roman"/>
                <w:i/>
                <w:iCs/>
                <w:color w:val="000000"/>
                <w:sz w:val="28"/>
                <w:szCs w:val="28"/>
              </w:rPr>
              <w:t xml:space="preserve">“Ủy ban nhân dân ban hành Quyết định....” </w:t>
            </w:r>
            <w:r>
              <w:rPr>
                <w:rFonts w:ascii="Times New Roman" w:hAnsi="Times New Roman" w:cs="Times New Roman"/>
                <w:color w:val="000000"/>
                <w:sz w:val="28"/>
                <w:szCs w:val="28"/>
              </w:rPr>
              <w:t xml:space="preserve">ngay phía sau cụm từ </w:t>
            </w:r>
            <w:r>
              <w:rPr>
                <w:rFonts w:ascii="Times New Roman" w:hAnsi="Times New Roman" w:cs="Times New Roman"/>
                <w:i/>
                <w:iCs/>
                <w:color w:val="000000"/>
                <w:sz w:val="28"/>
                <w:szCs w:val="28"/>
              </w:rPr>
              <w:t xml:space="preserve">“Theo đề nghị của Giám </w:t>
            </w:r>
            <w:r>
              <w:rPr>
                <w:rFonts w:ascii="Times New Roman" w:hAnsi="Times New Roman" w:cs="Times New Roman"/>
                <w:i/>
                <w:iCs/>
                <w:color w:val="000000"/>
                <w:sz w:val="28"/>
                <w:szCs w:val="28"/>
              </w:rPr>
              <w:lastRenderedPageBreak/>
              <w:t>đốc Sở Nội vụ...”.</w:t>
            </w:r>
          </w:p>
        </w:tc>
        <w:tc>
          <w:tcPr>
            <w:tcW w:w="5011" w:type="dxa"/>
            <w:vAlign w:val="center"/>
          </w:tcPr>
          <w:p>
            <w:pPr>
              <w:spacing w:before="60" w:after="60"/>
              <w:jc w:val="center"/>
              <w:rPr>
                <w:rStyle w:val="fontstyle01"/>
                <w:b w:val="0"/>
              </w:rPr>
            </w:pPr>
            <w:r>
              <w:rPr>
                <w:rFonts w:ascii="Times New Roman" w:eastAsia="Times New Roman" w:hAnsi="Times New Roman" w:cs="Times New Roman"/>
                <w:bCs/>
                <w:color w:val="000000"/>
                <w:sz w:val="28"/>
                <w:szCs w:val="28"/>
              </w:rPr>
              <w:lastRenderedPageBreak/>
              <w:t>Đã tiếp thu vào dự thảo</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tcPr>
          <w:p>
            <w:pPr>
              <w:spacing w:before="60" w:after="60"/>
              <w:rPr>
                <w:rStyle w:val="fontstyle01"/>
                <w:b w:val="0"/>
              </w:rPr>
            </w:pPr>
          </w:p>
        </w:tc>
        <w:tc>
          <w:tcPr>
            <w:tcW w:w="3543" w:type="dxa"/>
          </w:tcPr>
          <w:p>
            <w:pPr>
              <w:spacing w:before="60" w:after="60"/>
              <w:jc w:val="both"/>
              <w:rPr>
                <w:rStyle w:val="fontstyle01"/>
                <w:b w:val="0"/>
                <w:bCs w:val="0"/>
              </w:rPr>
            </w:pPr>
            <w:r>
              <w:rPr>
                <w:rFonts w:ascii="Times New Roman" w:hAnsi="Times New Roman" w:cs="Times New Roman"/>
                <w:color w:val="000000"/>
                <w:sz w:val="28"/>
                <w:szCs w:val="28"/>
              </w:rPr>
              <w:t>3. Tai mục Nơi nhân, đề nghị sửa cụm từ “Cục Kiểm tra VBQPPL - Bộ Tư pháp” thành “Cục Kiểm tra văn bản và quản lý xử lý vi pham hành chính, Bộ Tư pháp”, cho đúng với tên đơn vị sau sắp xếp tổ chức bộ máy.</w:t>
            </w:r>
          </w:p>
        </w:tc>
        <w:tc>
          <w:tcPr>
            <w:tcW w:w="5011" w:type="dxa"/>
            <w:vAlign w:val="center"/>
          </w:tcPr>
          <w:p>
            <w:pPr>
              <w:spacing w:before="60" w:after="60"/>
              <w:jc w:val="center"/>
              <w:rPr>
                <w:rStyle w:val="fontstyle01"/>
                <w:b w:val="0"/>
                <w:u w:val="single"/>
              </w:rPr>
            </w:pPr>
            <w:r>
              <w:rPr>
                <w:rFonts w:ascii="Times New Roman" w:eastAsia="Times New Roman" w:hAnsi="Times New Roman" w:cs="Times New Roman"/>
                <w:bCs/>
                <w:color w:val="000000"/>
                <w:sz w:val="28"/>
                <w:szCs w:val="28"/>
              </w:rPr>
              <w:t>Đã tiếp thu vào dự thảo</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val="restart"/>
          </w:tcPr>
          <w:p>
            <w:pPr>
              <w:spacing w:before="60" w:after="60"/>
              <w:jc w:val="both"/>
              <w:rPr>
                <w:rStyle w:val="fontstyle01"/>
                <w:b w:val="0"/>
              </w:rPr>
            </w:pPr>
            <w:r>
              <w:rPr>
                <w:rStyle w:val="fontstyle01"/>
              </w:rPr>
              <w:t>Ủy ban nhân dân phường Bỉm Sơn</w:t>
            </w:r>
            <w:r>
              <w:rPr>
                <w:rStyle w:val="fontstyle01"/>
                <w:b w:val="0"/>
              </w:rPr>
              <w:t xml:space="preserve"> (tại Công văn số 1570/UBND-VHXH ngày 27/10/2025)</w:t>
            </w:r>
          </w:p>
        </w:tc>
        <w:tc>
          <w:tcPr>
            <w:tcW w:w="3543" w:type="dxa"/>
          </w:tcPr>
          <w:p>
            <w:pPr>
              <w:spacing w:before="60" w:after="60"/>
              <w:jc w:val="both"/>
              <w:rPr>
                <w:rFonts w:ascii="Times New Roman" w:hAnsi="Times New Roman" w:cs="Times New Roman"/>
                <w:color w:val="000000"/>
                <w:sz w:val="28"/>
                <w:szCs w:val="28"/>
              </w:rPr>
            </w:pPr>
            <w:r>
              <w:rPr>
                <w:rFonts w:ascii="Times New Roman" w:hAnsi="Times New Roman" w:cs="Times New Roman"/>
                <w:bCs/>
                <w:color w:val="000000"/>
                <w:sz w:val="28"/>
                <w:szCs w:val="28"/>
              </w:rPr>
              <w:t>1.</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Tại trang 1, dự thảo đề xuất bỏ cụm từ </w:t>
            </w:r>
            <w:r>
              <w:rPr>
                <w:rFonts w:ascii="Times New Roman" w:hAnsi="Times New Roman" w:cs="Times New Roman"/>
                <w:color w:val="000000"/>
                <w:sz w:val="26"/>
                <w:szCs w:val="26"/>
              </w:rPr>
              <w:t>“</w:t>
            </w:r>
            <w:r>
              <w:rPr>
                <w:rFonts w:ascii="Times New Roman" w:hAnsi="Times New Roman" w:cs="Times New Roman"/>
                <w:b/>
                <w:bCs/>
                <w:color w:val="000000"/>
                <w:sz w:val="26"/>
                <w:szCs w:val="26"/>
              </w:rPr>
              <w:t>UỶ</w:t>
            </w:r>
            <w:r>
              <w:rPr>
                <w:b/>
                <w:bCs/>
                <w:color w:val="000000"/>
                <w:sz w:val="26"/>
                <w:szCs w:val="26"/>
              </w:rPr>
              <w:br/>
            </w:r>
            <w:r>
              <w:rPr>
                <w:rFonts w:ascii="Times New Roman" w:hAnsi="Times New Roman" w:cs="Times New Roman"/>
                <w:b/>
                <w:bCs/>
                <w:color w:val="000000"/>
                <w:sz w:val="26"/>
                <w:szCs w:val="26"/>
              </w:rPr>
              <w:t xml:space="preserve">BAN NHÂN DÂN TỈNH THANH HOÁ” </w:t>
            </w:r>
            <w:r>
              <w:rPr>
                <w:rFonts w:ascii="Times New Roman" w:hAnsi="Times New Roman" w:cs="Times New Roman"/>
                <w:b/>
                <w:bCs/>
                <w:color w:val="000000"/>
                <w:sz w:val="28"/>
                <w:szCs w:val="28"/>
              </w:rPr>
              <w:t xml:space="preserve">và </w:t>
            </w:r>
            <w:r>
              <w:rPr>
                <w:rFonts w:ascii="Times New Roman" w:hAnsi="Times New Roman" w:cs="Times New Roman"/>
                <w:b/>
                <w:bCs/>
                <w:color w:val="000000"/>
                <w:sz w:val="26"/>
                <w:szCs w:val="26"/>
              </w:rPr>
              <w:t xml:space="preserve">“QUYẾT ĐỊNH” </w:t>
            </w:r>
            <w:r>
              <w:rPr>
                <w:rFonts w:ascii="Times New Roman" w:hAnsi="Times New Roman" w:cs="Times New Roman"/>
                <w:color w:val="000000"/>
                <w:sz w:val="28"/>
                <w:szCs w:val="28"/>
              </w:rPr>
              <w:t>để phù hợp với</w:t>
            </w:r>
            <w:r>
              <w:rPr>
                <w:color w:val="000000"/>
                <w:sz w:val="28"/>
                <w:szCs w:val="28"/>
              </w:rPr>
              <w:br/>
            </w:r>
            <w:r>
              <w:rPr>
                <w:rFonts w:ascii="Times New Roman" w:hAnsi="Times New Roman" w:cs="Times New Roman"/>
                <w:color w:val="000000"/>
                <w:sz w:val="28"/>
                <w:szCs w:val="28"/>
              </w:rPr>
              <w:t>hướng dẫn theo Phụ lục I ban hành kèm theo Nghị định số 78/2025/NĐ-CP ngày</w:t>
            </w:r>
            <w:r>
              <w:rPr>
                <w:color w:val="000000"/>
                <w:sz w:val="28"/>
                <w:szCs w:val="28"/>
              </w:rPr>
              <w:br/>
            </w:r>
            <w:r>
              <w:rPr>
                <w:rFonts w:ascii="Times New Roman" w:hAnsi="Times New Roman" w:cs="Times New Roman"/>
                <w:color w:val="000000"/>
                <w:sz w:val="28"/>
                <w:szCs w:val="28"/>
              </w:rPr>
              <w:t>01/4/2025 của Chính phủ quy định chi tiết một số điều và biện pháp để tổ chức,</w:t>
            </w:r>
            <w:r>
              <w:rPr>
                <w:color w:val="000000"/>
                <w:sz w:val="28"/>
                <w:szCs w:val="28"/>
              </w:rPr>
              <w:br/>
            </w:r>
            <w:r>
              <w:rPr>
                <w:rFonts w:ascii="Times New Roman" w:hAnsi="Times New Roman" w:cs="Times New Roman"/>
                <w:color w:val="000000"/>
                <w:sz w:val="28"/>
                <w:szCs w:val="28"/>
              </w:rPr>
              <w:t>hướng dẫn thi hành Luật Ban hành văn bản quy phạm pháp luật.</w:t>
            </w:r>
          </w:p>
          <w:p>
            <w:pPr>
              <w:spacing w:before="60" w:after="60"/>
              <w:jc w:val="both"/>
              <w:rPr>
                <w:rStyle w:val="fontstyle01"/>
                <w:b w:val="0"/>
                <w:bCs w:val="0"/>
              </w:rPr>
            </w:pPr>
            <w:r>
              <w:rPr>
                <w:rFonts w:ascii="Times New Roman" w:hAnsi="Times New Roman" w:cs="Times New Roman"/>
                <w:color w:val="000000"/>
                <w:sz w:val="28"/>
                <w:szCs w:val="28"/>
              </w:rPr>
              <w:t>- Bổ sung phần căn cứ cuối “</w:t>
            </w:r>
            <w:r>
              <w:rPr>
                <w:rFonts w:ascii="Times New Roman" w:hAnsi="Times New Roman" w:cs="Times New Roman"/>
                <w:i/>
                <w:iCs/>
                <w:color w:val="000000"/>
                <w:sz w:val="28"/>
                <w:szCs w:val="28"/>
              </w:rPr>
              <w:t>Ủy ban nhân dân ban hành Quyết định…”</w:t>
            </w:r>
          </w:p>
        </w:tc>
        <w:tc>
          <w:tcPr>
            <w:tcW w:w="5011" w:type="dxa"/>
            <w:vAlign w:val="center"/>
          </w:tcPr>
          <w:p>
            <w:pPr>
              <w:spacing w:before="60" w:after="60"/>
              <w:jc w:val="center"/>
              <w:rPr>
                <w:rStyle w:val="fontstyle01"/>
                <w:b w:val="0"/>
              </w:rPr>
            </w:pPr>
            <w:r>
              <w:rPr>
                <w:rFonts w:ascii="Times New Roman" w:eastAsia="Times New Roman" w:hAnsi="Times New Roman" w:cs="Times New Roman"/>
                <w:bCs/>
                <w:color w:val="000000"/>
                <w:sz w:val="28"/>
                <w:szCs w:val="28"/>
              </w:rPr>
              <w:t>Đã tiếp thu vào dự thảo</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tcPr>
          <w:p>
            <w:pPr>
              <w:spacing w:before="60" w:after="60"/>
              <w:jc w:val="both"/>
              <w:rPr>
                <w:rStyle w:val="fontstyle01"/>
                <w:b w:val="0"/>
              </w:rPr>
            </w:pPr>
          </w:p>
        </w:tc>
        <w:tc>
          <w:tcPr>
            <w:tcW w:w="3543" w:type="dxa"/>
          </w:tcPr>
          <w:p>
            <w:pPr>
              <w:spacing w:before="60" w:after="60"/>
              <w:jc w:val="both"/>
              <w:rPr>
                <w:rStyle w:val="fontstyle01"/>
                <w:b w:val="0"/>
                <w:bCs w:val="0"/>
              </w:rPr>
            </w:pPr>
            <w:r>
              <w:rPr>
                <w:rFonts w:ascii="Times New Roman" w:hAnsi="Times New Roman" w:cs="Times New Roman"/>
                <w:bCs/>
                <w:color w:val="000000"/>
                <w:sz w:val="28"/>
                <w:szCs w:val="28"/>
              </w:rPr>
              <w:t>2.</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Tại phần căn cứ ban hành văn bản; Điều 3; khoản 1, Điều 4 đề nghị điều chỉnh thành “Căn cứ Thông tư số 15/2025/TT-BNV ngày 04/8/2025 của Bộ Nội vụ…”</w:t>
            </w:r>
          </w:p>
        </w:tc>
        <w:tc>
          <w:tcPr>
            <w:tcW w:w="5011" w:type="dxa"/>
            <w:vAlign w:val="center"/>
          </w:tcPr>
          <w:p>
            <w:pPr>
              <w:spacing w:before="60" w:after="60"/>
              <w:jc w:val="center"/>
              <w:rPr>
                <w:rStyle w:val="fontstyle01"/>
                <w:b w:val="0"/>
              </w:rPr>
            </w:pPr>
            <w:r>
              <w:rPr>
                <w:rFonts w:ascii="Times New Roman" w:eastAsia="Times New Roman" w:hAnsi="Times New Roman" w:cs="Times New Roman"/>
                <w:bCs/>
                <w:color w:val="000000"/>
                <w:sz w:val="28"/>
                <w:szCs w:val="28"/>
              </w:rPr>
              <w:t>Đã tiếp thu vào dự thảo</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val="restart"/>
          </w:tcPr>
          <w:p>
            <w:pPr>
              <w:pStyle w:val="NormalWeb"/>
              <w:spacing w:before="60" w:beforeAutospacing="0" w:after="60" w:afterAutospacing="0"/>
              <w:jc w:val="both"/>
              <w:rPr>
                <w:rStyle w:val="fontstyle01"/>
                <w:b w:val="0"/>
              </w:rPr>
            </w:pPr>
            <w:r>
              <w:rPr>
                <w:rStyle w:val="fontstyle01"/>
              </w:rPr>
              <w:t>Ủy ban nhân dân phường Quang trung</w:t>
            </w:r>
            <w:r>
              <w:rPr>
                <w:rStyle w:val="fontstyle01"/>
                <w:b w:val="0"/>
              </w:rPr>
              <w:t xml:space="preserve"> (tại Công văn số 1759/UBND-VHXH ngày 24/10/2025)</w:t>
            </w:r>
          </w:p>
        </w:tc>
        <w:tc>
          <w:tcPr>
            <w:tcW w:w="3543" w:type="dxa"/>
          </w:tcPr>
          <w:p>
            <w:pPr>
              <w:pStyle w:val="NormalWeb"/>
              <w:spacing w:before="60" w:beforeAutospacing="0" w:after="60" w:afterAutospacing="0"/>
              <w:jc w:val="both"/>
              <w:rPr>
                <w:rStyle w:val="fontstyle01"/>
                <w:rFonts w:eastAsiaTheme="minorHAnsi"/>
                <w:b w:val="0"/>
                <w:bCs w:val="0"/>
              </w:rPr>
            </w:pPr>
            <w:r>
              <w:rPr>
                <w:rFonts w:eastAsiaTheme="minorHAnsi"/>
                <w:bCs/>
                <w:color w:val="000000"/>
                <w:sz w:val="28"/>
                <w:szCs w:val="28"/>
              </w:rPr>
              <w:t>1.</w:t>
            </w:r>
            <w:r>
              <w:rPr>
                <w:rFonts w:eastAsiaTheme="minorHAnsi"/>
                <w:b/>
                <w:bCs/>
                <w:color w:val="000000"/>
                <w:sz w:val="28"/>
                <w:szCs w:val="28"/>
              </w:rPr>
              <w:t xml:space="preserve"> </w:t>
            </w:r>
            <w:r>
              <w:rPr>
                <w:rFonts w:eastAsiaTheme="minorHAnsi"/>
                <w:color w:val="000000"/>
                <w:sz w:val="28"/>
                <w:szCs w:val="28"/>
              </w:rPr>
              <w:t xml:space="preserve">Tại trang 1, dự thảo Quyết định gửi kèm theo, đề xuất bỏ cụm từ </w:t>
            </w:r>
            <w:r>
              <w:rPr>
                <w:rFonts w:eastAsiaTheme="minorHAnsi"/>
                <w:color w:val="000000"/>
                <w:sz w:val="26"/>
                <w:szCs w:val="26"/>
              </w:rPr>
              <w:t>“</w:t>
            </w:r>
            <w:r>
              <w:rPr>
                <w:rFonts w:eastAsiaTheme="minorHAnsi"/>
                <w:b/>
                <w:bCs/>
                <w:color w:val="000000"/>
                <w:sz w:val="26"/>
                <w:szCs w:val="26"/>
              </w:rPr>
              <w:t>UỶ</w:t>
            </w:r>
            <w:r>
              <w:rPr>
                <w:rFonts w:asciiTheme="minorHAnsi" w:eastAsiaTheme="minorHAnsi" w:hAnsiTheme="minorHAnsi" w:cstheme="minorBidi"/>
                <w:b/>
                <w:bCs/>
                <w:color w:val="000000"/>
                <w:sz w:val="26"/>
                <w:szCs w:val="26"/>
              </w:rPr>
              <w:br/>
            </w:r>
            <w:r>
              <w:rPr>
                <w:rFonts w:eastAsiaTheme="minorHAnsi"/>
                <w:b/>
                <w:bCs/>
                <w:color w:val="000000"/>
                <w:sz w:val="26"/>
                <w:szCs w:val="26"/>
              </w:rPr>
              <w:t xml:space="preserve">BAN NHÂN DÂN TỈNH THANH HOÁ” </w:t>
            </w:r>
            <w:r>
              <w:rPr>
                <w:rFonts w:eastAsiaTheme="minorHAnsi"/>
                <w:color w:val="000000"/>
                <w:sz w:val="28"/>
                <w:szCs w:val="28"/>
              </w:rPr>
              <w:t>để phù hợp với hướng dẫn theo Phụ lục</w:t>
            </w:r>
            <w:r>
              <w:rPr>
                <w:rFonts w:asciiTheme="minorHAnsi" w:eastAsiaTheme="minorHAnsi" w:hAnsiTheme="minorHAnsi" w:cstheme="minorBidi"/>
                <w:color w:val="000000"/>
                <w:sz w:val="28"/>
                <w:szCs w:val="28"/>
              </w:rPr>
              <w:br/>
            </w:r>
            <w:r>
              <w:rPr>
                <w:rFonts w:eastAsiaTheme="minorHAnsi"/>
                <w:color w:val="000000"/>
                <w:sz w:val="28"/>
                <w:szCs w:val="28"/>
              </w:rPr>
              <w:t>I ban hành kèm theo Nghị định số 78/2025/NĐ-CP ngày 01/4/2025 của Chính</w:t>
            </w:r>
            <w:r>
              <w:rPr>
                <w:rFonts w:asciiTheme="minorHAnsi" w:eastAsiaTheme="minorHAnsi" w:hAnsiTheme="minorHAnsi" w:cstheme="minorBidi"/>
                <w:color w:val="000000"/>
                <w:sz w:val="28"/>
                <w:szCs w:val="28"/>
              </w:rPr>
              <w:br/>
            </w:r>
            <w:r>
              <w:rPr>
                <w:rFonts w:eastAsiaTheme="minorHAnsi"/>
                <w:color w:val="000000"/>
                <w:sz w:val="28"/>
                <w:szCs w:val="28"/>
              </w:rPr>
              <w:t>phủ quy định chi tiết một số điều và biện pháp để tổ chức, hướng dẫn thi hành Luật Ban hành văn bản quy phạm pháp luật.</w:t>
            </w:r>
          </w:p>
        </w:tc>
        <w:tc>
          <w:tcPr>
            <w:tcW w:w="5011" w:type="dxa"/>
            <w:vAlign w:val="center"/>
          </w:tcPr>
          <w:p>
            <w:pPr>
              <w:spacing w:before="60" w:after="60"/>
              <w:jc w:val="center"/>
              <w:rPr>
                <w:rStyle w:val="fontstyle01"/>
                <w:b w:val="0"/>
              </w:rPr>
            </w:pPr>
            <w:r>
              <w:rPr>
                <w:rFonts w:ascii="Times New Roman" w:eastAsia="Times New Roman" w:hAnsi="Times New Roman" w:cs="Times New Roman"/>
                <w:bCs/>
                <w:color w:val="000000"/>
                <w:sz w:val="28"/>
                <w:szCs w:val="28"/>
              </w:rPr>
              <w:t>Đã tiếp thu vào dự thảo</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tcPr>
          <w:p>
            <w:pPr>
              <w:pStyle w:val="NormalWeb"/>
              <w:spacing w:before="60" w:beforeAutospacing="0" w:after="60" w:afterAutospacing="0"/>
              <w:jc w:val="both"/>
              <w:rPr>
                <w:bCs/>
                <w:sz w:val="28"/>
                <w:szCs w:val="28"/>
              </w:rPr>
            </w:pPr>
          </w:p>
        </w:tc>
        <w:tc>
          <w:tcPr>
            <w:tcW w:w="3543" w:type="dxa"/>
          </w:tcPr>
          <w:p>
            <w:pPr>
              <w:pStyle w:val="NormalWeb"/>
              <w:spacing w:before="60" w:beforeAutospacing="0" w:after="60" w:afterAutospacing="0"/>
              <w:jc w:val="both"/>
              <w:rPr>
                <w:rStyle w:val="fontstyle01"/>
                <w:rFonts w:eastAsiaTheme="minorHAnsi"/>
                <w:b w:val="0"/>
                <w:bCs w:val="0"/>
              </w:rPr>
            </w:pPr>
            <w:r>
              <w:rPr>
                <w:rFonts w:eastAsiaTheme="minorHAnsi"/>
                <w:bCs/>
                <w:color w:val="000000"/>
                <w:sz w:val="28"/>
                <w:szCs w:val="28"/>
              </w:rPr>
              <w:t>2.</w:t>
            </w:r>
            <w:r>
              <w:rPr>
                <w:rFonts w:eastAsiaTheme="minorHAnsi"/>
                <w:b/>
                <w:bCs/>
                <w:color w:val="000000"/>
                <w:sz w:val="28"/>
                <w:szCs w:val="28"/>
              </w:rPr>
              <w:t xml:space="preserve"> </w:t>
            </w:r>
            <w:r>
              <w:rPr>
                <w:rFonts w:eastAsiaTheme="minorHAnsi"/>
                <w:color w:val="000000"/>
                <w:sz w:val="28"/>
                <w:szCs w:val="28"/>
              </w:rPr>
              <w:t xml:space="preserve">Tại phần căn cứ ban hành văn bản, đề nghị điều chỉnh “Căn cứ Thông tư số 15/TT-BNV ngày 04 tháng 8 năm 2025 của Bộ Nội vụ…” thành “Căn cứ Thông tư số </w:t>
            </w:r>
            <w:r>
              <w:rPr>
                <w:rFonts w:eastAsiaTheme="minorHAnsi"/>
                <w:color w:val="000000"/>
                <w:sz w:val="28"/>
                <w:szCs w:val="28"/>
              </w:rPr>
              <w:lastRenderedPageBreak/>
              <w:t>15/2025/TT-BNV ngày 04 tháng 8 năm 2025 của Bộ Nội vụ…”</w:t>
            </w:r>
          </w:p>
        </w:tc>
        <w:tc>
          <w:tcPr>
            <w:tcW w:w="5011" w:type="dxa"/>
            <w:vAlign w:val="center"/>
          </w:tcPr>
          <w:p>
            <w:pPr>
              <w:spacing w:before="60" w:after="60"/>
              <w:jc w:val="center"/>
              <w:rPr>
                <w:rFonts w:ascii="Times New Roman" w:eastAsia="Times New Roman" w:hAnsi="Times New Roman" w:cs="Times New Roman"/>
                <w:b/>
                <w:sz w:val="28"/>
                <w:szCs w:val="28"/>
                <w:u w:val="single"/>
              </w:rPr>
            </w:pPr>
            <w:r>
              <w:rPr>
                <w:rFonts w:ascii="Times New Roman" w:eastAsia="Times New Roman" w:hAnsi="Times New Roman" w:cs="Times New Roman"/>
                <w:bCs/>
                <w:color w:val="000000"/>
                <w:sz w:val="28"/>
                <w:szCs w:val="28"/>
              </w:rPr>
              <w:lastRenderedPageBreak/>
              <w:t>Đã tiếp thu vào dự thảo</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tcPr>
          <w:p>
            <w:pPr>
              <w:pStyle w:val="NormalWeb"/>
              <w:spacing w:before="60" w:beforeAutospacing="0" w:after="60" w:afterAutospacing="0"/>
              <w:jc w:val="both"/>
              <w:rPr>
                <w:bCs/>
                <w:sz w:val="28"/>
                <w:szCs w:val="28"/>
              </w:rPr>
            </w:pPr>
          </w:p>
        </w:tc>
        <w:tc>
          <w:tcPr>
            <w:tcW w:w="3543" w:type="dxa"/>
          </w:tcPr>
          <w:p>
            <w:pPr>
              <w:pStyle w:val="NormalWeb"/>
              <w:spacing w:before="60" w:beforeAutospacing="0" w:after="60" w:afterAutospacing="0"/>
              <w:jc w:val="both"/>
              <w:rPr>
                <w:rFonts w:eastAsiaTheme="minorHAnsi"/>
                <w:color w:val="000000"/>
                <w:sz w:val="28"/>
                <w:szCs w:val="28"/>
              </w:rPr>
            </w:pPr>
            <w:r>
              <w:rPr>
                <w:rFonts w:eastAsiaTheme="minorHAnsi"/>
                <w:bCs/>
                <w:color w:val="000000"/>
                <w:sz w:val="28"/>
                <w:szCs w:val="28"/>
              </w:rPr>
              <w:t xml:space="preserve">3. </w:t>
            </w:r>
            <w:r>
              <w:rPr>
                <w:rFonts w:eastAsiaTheme="minorHAnsi"/>
                <w:color w:val="000000"/>
                <w:sz w:val="28"/>
                <w:szCs w:val="28"/>
              </w:rPr>
              <w:t>Tại Điều 3 của Quy định kèm theo: Đề nghị điều chỉnh “…Điều 2 Thông tư số 15/TT-BNV ngày 04 tháng 8</w:t>
            </w:r>
            <w:r>
              <w:rPr>
                <w:rFonts w:asciiTheme="minorHAnsi" w:eastAsiaTheme="minorHAnsi" w:hAnsiTheme="minorHAnsi" w:cstheme="minorBidi"/>
                <w:color w:val="000000"/>
                <w:sz w:val="28"/>
                <w:szCs w:val="28"/>
              </w:rPr>
              <w:br/>
            </w:r>
            <w:r>
              <w:rPr>
                <w:rFonts w:eastAsiaTheme="minorHAnsi"/>
                <w:color w:val="000000"/>
                <w:sz w:val="28"/>
                <w:szCs w:val="28"/>
              </w:rPr>
              <w:t>năm 2025…” thành “…Điều 2 Thông tư số 15/2025/TT-BNV ngày 04 tháng 8 năm 2025…”</w:t>
            </w:r>
          </w:p>
        </w:tc>
        <w:tc>
          <w:tcPr>
            <w:tcW w:w="5011" w:type="dxa"/>
            <w:vAlign w:val="center"/>
          </w:tcPr>
          <w:p>
            <w:pPr>
              <w:spacing w:before="60" w:after="60"/>
              <w:jc w:val="center"/>
              <w:rPr>
                <w:rFonts w:ascii="Times New Roman" w:eastAsia="Times New Roman" w:hAnsi="Times New Roman" w:cs="Times New Roman"/>
                <w:b/>
                <w:sz w:val="28"/>
                <w:szCs w:val="28"/>
                <w:u w:val="single"/>
              </w:rPr>
            </w:pPr>
            <w:r>
              <w:rPr>
                <w:rFonts w:ascii="Times New Roman" w:eastAsia="Times New Roman" w:hAnsi="Times New Roman" w:cs="Times New Roman"/>
                <w:bCs/>
                <w:color w:val="000000"/>
                <w:sz w:val="28"/>
                <w:szCs w:val="28"/>
              </w:rPr>
              <w:t>Đã tiếp thu vào dự thảo</w:t>
            </w:r>
          </w:p>
        </w:tc>
      </w:tr>
      <w:tr>
        <w:trPr>
          <w:trHeight w:val="2991"/>
        </w:trPr>
        <w:tc>
          <w:tcPr>
            <w:tcW w:w="746" w:type="dxa"/>
            <w:vMerge/>
            <w:tcBorders>
              <w:bottom w:val="single" w:sz="4" w:space="0" w:color="auto"/>
            </w:tcBorders>
          </w:tcPr>
          <w:p>
            <w:pPr>
              <w:pStyle w:val="ListParagraph"/>
              <w:numPr>
                <w:ilvl w:val="0"/>
                <w:numId w:val="1"/>
              </w:numPr>
              <w:spacing w:before="60" w:after="60"/>
              <w:rPr>
                <w:rStyle w:val="fontstyle01"/>
                <w:b w:val="0"/>
              </w:rPr>
            </w:pPr>
          </w:p>
        </w:tc>
        <w:tc>
          <w:tcPr>
            <w:tcW w:w="1900" w:type="dxa"/>
            <w:vMerge/>
            <w:tcBorders>
              <w:bottom w:val="single" w:sz="4" w:space="0" w:color="auto"/>
            </w:tcBorders>
          </w:tcPr>
          <w:p>
            <w:pPr>
              <w:spacing w:before="60" w:after="60"/>
              <w:rPr>
                <w:rStyle w:val="fontstyle01"/>
                <w:b w:val="0"/>
              </w:rPr>
            </w:pPr>
          </w:p>
        </w:tc>
        <w:tc>
          <w:tcPr>
            <w:tcW w:w="3021" w:type="dxa"/>
            <w:vMerge/>
            <w:tcBorders>
              <w:bottom w:val="single" w:sz="4" w:space="0" w:color="auto"/>
            </w:tcBorders>
          </w:tcPr>
          <w:p>
            <w:pPr>
              <w:pStyle w:val="NormalWeb"/>
              <w:spacing w:before="60" w:beforeAutospacing="0" w:after="60" w:afterAutospacing="0"/>
              <w:jc w:val="both"/>
              <w:rPr>
                <w:bCs/>
                <w:sz w:val="28"/>
                <w:szCs w:val="28"/>
              </w:rPr>
            </w:pPr>
          </w:p>
        </w:tc>
        <w:tc>
          <w:tcPr>
            <w:tcW w:w="3543" w:type="dxa"/>
            <w:tcBorders>
              <w:bottom w:val="single" w:sz="4" w:space="0" w:color="auto"/>
            </w:tcBorders>
          </w:tcPr>
          <w:p>
            <w:pPr>
              <w:pStyle w:val="NormalWeb"/>
              <w:spacing w:before="60" w:beforeAutospacing="0" w:after="60" w:afterAutospacing="0"/>
              <w:jc w:val="both"/>
              <w:rPr>
                <w:rFonts w:eastAsiaTheme="minorHAnsi"/>
                <w:color w:val="000000"/>
                <w:sz w:val="28"/>
                <w:szCs w:val="28"/>
              </w:rPr>
            </w:pPr>
            <w:r>
              <w:rPr>
                <w:rFonts w:eastAsiaTheme="minorHAnsi"/>
                <w:bCs/>
                <w:color w:val="000000"/>
                <w:sz w:val="28"/>
                <w:szCs w:val="28"/>
              </w:rPr>
              <w:t>4.</w:t>
            </w:r>
            <w:r>
              <w:rPr>
                <w:rFonts w:eastAsiaTheme="minorHAnsi"/>
                <w:b/>
                <w:bCs/>
                <w:color w:val="000000"/>
                <w:sz w:val="28"/>
                <w:szCs w:val="28"/>
              </w:rPr>
              <w:t xml:space="preserve"> </w:t>
            </w:r>
            <w:r>
              <w:rPr>
                <w:rFonts w:eastAsiaTheme="minorHAnsi"/>
                <w:color w:val="000000"/>
                <w:sz w:val="28"/>
                <w:szCs w:val="28"/>
              </w:rPr>
              <w:t>Tại khoản 1 Điều 4 của Quy định kèm theo: Đề nghị điều chỉnh “…khoản 5 Điều 2 Thông tư số 15/TT-BNV ngày 04 tháng 8 năm 2025…” thành “…khoản 5 Điều 2 Thông tư số 15/2025/TT-BNV</w:t>
            </w:r>
            <w:r>
              <w:rPr>
                <w:rFonts w:asciiTheme="minorHAnsi" w:eastAsiaTheme="minorHAnsi" w:hAnsiTheme="minorHAnsi" w:cstheme="minorBidi"/>
                <w:color w:val="000000"/>
                <w:sz w:val="28"/>
                <w:szCs w:val="28"/>
              </w:rPr>
              <w:t xml:space="preserve"> </w:t>
            </w:r>
            <w:r>
              <w:rPr>
                <w:rFonts w:eastAsiaTheme="minorHAnsi"/>
                <w:color w:val="000000"/>
                <w:sz w:val="28"/>
                <w:szCs w:val="28"/>
              </w:rPr>
              <w:t>ngày 04 tháng 8 năm 2025…”</w:t>
            </w:r>
          </w:p>
        </w:tc>
        <w:tc>
          <w:tcPr>
            <w:tcW w:w="5011" w:type="dxa"/>
            <w:tcBorders>
              <w:bottom w:val="single" w:sz="4" w:space="0" w:color="auto"/>
            </w:tcBorders>
            <w:vAlign w:val="center"/>
          </w:tcPr>
          <w:p>
            <w:pPr>
              <w:spacing w:before="60" w:after="60"/>
              <w:jc w:val="center"/>
              <w:rPr>
                <w:rFonts w:ascii="Times New Roman" w:eastAsia="Times New Roman" w:hAnsi="Times New Roman" w:cs="Times New Roman"/>
                <w:b/>
                <w:sz w:val="28"/>
                <w:szCs w:val="28"/>
                <w:u w:val="single"/>
              </w:rPr>
            </w:pPr>
            <w:r>
              <w:rPr>
                <w:rFonts w:ascii="Times New Roman" w:eastAsia="Times New Roman" w:hAnsi="Times New Roman" w:cs="Times New Roman"/>
                <w:bCs/>
                <w:color w:val="000000"/>
                <w:sz w:val="28"/>
                <w:szCs w:val="28"/>
              </w:rPr>
              <w:t>Đã tiếp thu vào dự thảo</w:t>
            </w:r>
          </w:p>
        </w:tc>
      </w:tr>
      <w:tr>
        <w:tc>
          <w:tcPr>
            <w:tcW w:w="746" w:type="dxa"/>
            <w:vMerge w:val="restart"/>
          </w:tcPr>
          <w:p>
            <w:pPr>
              <w:pStyle w:val="ListParagraph"/>
              <w:numPr>
                <w:ilvl w:val="0"/>
                <w:numId w:val="1"/>
              </w:numPr>
              <w:spacing w:before="60" w:after="60"/>
              <w:rPr>
                <w:rStyle w:val="fontstyle01"/>
                <w:b w:val="0"/>
              </w:rPr>
            </w:pPr>
          </w:p>
        </w:tc>
        <w:tc>
          <w:tcPr>
            <w:tcW w:w="1900" w:type="dxa"/>
            <w:vMerge w:val="restart"/>
          </w:tcPr>
          <w:p>
            <w:pPr>
              <w:spacing w:before="60" w:after="60"/>
              <w:jc w:val="both"/>
              <w:rPr>
                <w:rStyle w:val="fontstyle01"/>
                <w:b w:val="0"/>
              </w:rPr>
            </w:pPr>
            <w:r>
              <w:rPr>
                <w:rFonts w:ascii="Times New Roman" w:eastAsia="Times New Roman" w:hAnsi="Times New Roman" w:cs="Times New Roman"/>
                <w:b/>
                <w:bCs/>
                <w:color w:val="000000"/>
                <w:sz w:val="28"/>
                <w:szCs w:val="28"/>
              </w:rPr>
              <w:t xml:space="preserve">Về đối tượng, tiêu chuẩn xét tặng danh hiệu thi đua, hỉnh thức </w:t>
            </w:r>
            <w:r>
              <w:rPr>
                <w:rFonts w:ascii="Times New Roman" w:eastAsia="Times New Roman" w:hAnsi="Times New Roman" w:cs="Times New Roman"/>
                <w:b/>
                <w:bCs/>
                <w:color w:val="000000"/>
                <w:sz w:val="28"/>
                <w:szCs w:val="28"/>
              </w:rPr>
              <w:lastRenderedPageBreak/>
              <w:t>khen thưởng</w:t>
            </w:r>
          </w:p>
        </w:tc>
        <w:tc>
          <w:tcPr>
            <w:tcW w:w="3021" w:type="dxa"/>
          </w:tcPr>
          <w:p>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b/>
                <w:color w:val="000000" w:themeColor="text1"/>
                <w:sz w:val="28"/>
                <w:szCs w:val="28"/>
              </w:rPr>
              <w:lastRenderedPageBreak/>
              <w:t>Sở Tài chính</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(tại Công văn số 11156/STC-VP ngày 27/10/2025)</w:t>
            </w:r>
          </w:p>
        </w:tc>
        <w:tc>
          <w:tcPr>
            <w:tcW w:w="3543" w:type="dxa"/>
          </w:tcPr>
          <w:p>
            <w:pPr>
              <w:pStyle w:val="NormalWeb"/>
              <w:spacing w:before="60" w:beforeAutospacing="0" w:after="60" w:afterAutospacing="0"/>
              <w:jc w:val="both"/>
              <w:rPr>
                <w:rFonts w:eastAsiaTheme="minorHAnsi"/>
                <w:color w:val="000000"/>
                <w:sz w:val="28"/>
                <w:szCs w:val="28"/>
              </w:rPr>
            </w:pPr>
            <w:r>
              <w:rPr>
                <w:rFonts w:eastAsiaTheme="minorHAnsi"/>
                <w:color w:val="000000"/>
                <w:sz w:val="28"/>
                <w:szCs w:val="28"/>
              </w:rPr>
              <w:t xml:space="preserve">Tại dự thảo Quyết định, có một số nội dung đang quy định theo hướng giao cho cơ quan, đơn vị tiếp tục quy định chi tiết, chưa phù hợp với quy định tại Khoản 2 </w:t>
            </w:r>
            <w:r>
              <w:rPr>
                <w:rFonts w:eastAsiaTheme="minorHAnsi"/>
                <w:color w:val="000000"/>
                <w:sz w:val="28"/>
                <w:szCs w:val="28"/>
              </w:rPr>
              <w:lastRenderedPageBreak/>
              <w:t>Điều 6 Nghị định số 152/2025/NĐ-CP; cụ thể:</w:t>
            </w:r>
          </w:p>
          <w:p>
            <w:pPr>
              <w:pStyle w:val="NormalWeb"/>
              <w:spacing w:before="60" w:beforeAutospacing="0" w:after="60" w:afterAutospacing="0"/>
              <w:jc w:val="both"/>
              <w:rPr>
                <w:rFonts w:eastAsiaTheme="minorHAnsi"/>
                <w:color w:val="000000"/>
                <w:sz w:val="28"/>
                <w:szCs w:val="28"/>
              </w:rPr>
            </w:pPr>
            <w:r>
              <w:rPr>
                <w:rFonts w:eastAsiaTheme="minorHAnsi"/>
                <w:b/>
                <w:bCs/>
                <w:color w:val="000000"/>
                <w:sz w:val="28"/>
                <w:szCs w:val="28"/>
              </w:rPr>
              <w:t xml:space="preserve">(i) </w:t>
            </w:r>
            <w:r>
              <w:rPr>
                <w:rFonts w:eastAsiaTheme="minorHAnsi"/>
                <w:color w:val="000000"/>
                <w:sz w:val="28"/>
                <w:szCs w:val="28"/>
              </w:rPr>
              <w:t>Khoản 2 Điều 15 dự thảo Quyết định quy định</w:t>
            </w:r>
            <w:r>
              <w:rPr>
                <w:rFonts w:eastAsiaTheme="minorHAnsi"/>
                <w:i/>
                <w:iCs/>
                <w:color w:val="000000"/>
                <w:sz w:val="28"/>
                <w:szCs w:val="28"/>
              </w:rPr>
              <w:t>“Giám đốc các sở, Trưởng các ban, ngành, đoàn thể cấp tỉnh và tương đương; Chủ tịch Ủy ban nhân dân cấp xã; Chủ tịch Hội đồng quản trị, Chủ tịch Hội đồng thành viên,</w:t>
            </w:r>
            <w:r>
              <w:rPr>
                <w:rFonts w:asciiTheme="minorHAnsi" w:eastAsiaTheme="minorHAnsi" w:hAnsiTheme="minorHAnsi" w:cstheme="minorBidi"/>
                <w:sz w:val="22"/>
                <w:szCs w:val="22"/>
              </w:rPr>
              <w:br/>
            </w:r>
            <w:r>
              <w:rPr>
                <w:rFonts w:eastAsiaTheme="minorHAnsi"/>
                <w:i/>
                <w:iCs/>
                <w:color w:val="000000"/>
                <w:sz w:val="28"/>
                <w:szCs w:val="28"/>
              </w:rPr>
              <w:t>Tổng Giám đốc, Giám đốc doanh nghiệp, hợp tác xã quy định cụ thể mẫu Báo</w:t>
            </w:r>
            <w:r>
              <w:rPr>
                <w:rFonts w:asciiTheme="minorHAnsi" w:eastAsiaTheme="minorHAnsi" w:hAnsiTheme="minorHAnsi" w:cstheme="minorBidi"/>
                <w:i/>
                <w:iCs/>
                <w:color w:val="000000"/>
                <w:sz w:val="28"/>
                <w:szCs w:val="28"/>
              </w:rPr>
              <w:br/>
            </w:r>
            <w:r>
              <w:rPr>
                <w:rFonts w:eastAsiaTheme="minorHAnsi"/>
                <w:i/>
                <w:iCs/>
                <w:color w:val="000000"/>
                <w:sz w:val="28"/>
                <w:szCs w:val="28"/>
              </w:rPr>
              <w:t>cáo tóm tắt thành tích đối với danh hiệu “Lao động tiên tiến”, “Tập thể lao</w:t>
            </w:r>
            <w:r>
              <w:rPr>
                <w:rFonts w:asciiTheme="minorHAnsi" w:eastAsiaTheme="minorHAnsi" w:hAnsiTheme="minorHAnsi" w:cstheme="minorBidi"/>
                <w:i/>
                <w:iCs/>
                <w:color w:val="000000"/>
                <w:sz w:val="28"/>
                <w:szCs w:val="28"/>
              </w:rPr>
              <w:br/>
            </w:r>
            <w:r>
              <w:rPr>
                <w:rFonts w:eastAsiaTheme="minorHAnsi"/>
                <w:i/>
                <w:iCs/>
                <w:color w:val="000000"/>
                <w:sz w:val="28"/>
                <w:szCs w:val="28"/>
              </w:rPr>
              <w:t xml:space="preserve">động tiên tiến”; </w:t>
            </w:r>
            <w:r>
              <w:rPr>
                <w:rFonts w:eastAsiaTheme="minorHAnsi"/>
                <w:b/>
                <w:bCs/>
                <w:color w:val="000000"/>
                <w:sz w:val="28"/>
                <w:szCs w:val="28"/>
              </w:rPr>
              <w:t xml:space="preserve">(ii) </w:t>
            </w:r>
            <w:r>
              <w:rPr>
                <w:rFonts w:eastAsiaTheme="minorHAnsi"/>
                <w:color w:val="000000"/>
                <w:sz w:val="28"/>
                <w:szCs w:val="28"/>
              </w:rPr>
              <w:t>Điều 18 dự thảo Quyết định mới quy định thành phần Hội đồng Thi</w:t>
            </w:r>
            <w:r>
              <w:rPr>
                <w:rFonts w:asciiTheme="minorHAnsi" w:eastAsiaTheme="minorHAnsi" w:hAnsiTheme="minorHAnsi" w:cstheme="minorBidi"/>
                <w:color w:val="000000"/>
                <w:sz w:val="28"/>
                <w:szCs w:val="28"/>
              </w:rPr>
              <w:t xml:space="preserve"> </w:t>
            </w:r>
            <w:r>
              <w:rPr>
                <w:rFonts w:eastAsiaTheme="minorHAnsi"/>
                <w:color w:val="000000"/>
                <w:sz w:val="28"/>
                <w:szCs w:val="28"/>
              </w:rPr>
              <w:t>đua khen thưởng đối với cấp xã, chưa quy định cơ cấu, thành phần Hội đồng Thi</w:t>
            </w:r>
            <w:r>
              <w:rPr>
                <w:rFonts w:asciiTheme="minorHAnsi" w:eastAsiaTheme="minorHAnsi" w:hAnsiTheme="minorHAnsi" w:cstheme="minorBidi"/>
                <w:color w:val="000000"/>
                <w:sz w:val="28"/>
                <w:szCs w:val="28"/>
              </w:rPr>
              <w:t xml:space="preserve"> </w:t>
            </w:r>
            <w:r>
              <w:rPr>
                <w:rFonts w:eastAsiaTheme="minorHAnsi"/>
                <w:color w:val="000000"/>
                <w:sz w:val="28"/>
                <w:szCs w:val="28"/>
              </w:rPr>
              <w:t>đua - Khen thưởng của cơ quan, đơn vị.</w:t>
            </w:r>
          </w:p>
          <w:p>
            <w:pPr>
              <w:pStyle w:val="NormalWeb"/>
              <w:spacing w:before="60" w:beforeAutospacing="0" w:after="60" w:afterAutospacing="0"/>
              <w:jc w:val="both"/>
              <w:rPr>
                <w:rStyle w:val="fontstyle01"/>
                <w:rFonts w:eastAsiaTheme="minorHAnsi"/>
                <w:b w:val="0"/>
                <w:bCs w:val="0"/>
                <w:i/>
                <w:iCs/>
              </w:rPr>
            </w:pPr>
            <w:r>
              <w:rPr>
                <w:rFonts w:eastAsiaTheme="minorHAnsi"/>
                <w:b/>
                <w:bCs/>
                <w:color w:val="000000"/>
                <w:sz w:val="28"/>
                <w:szCs w:val="28"/>
              </w:rPr>
              <w:t xml:space="preserve">(iii) </w:t>
            </w:r>
            <w:r>
              <w:rPr>
                <w:rFonts w:eastAsiaTheme="minorHAnsi"/>
                <w:color w:val="000000"/>
                <w:sz w:val="28"/>
                <w:szCs w:val="28"/>
              </w:rPr>
              <w:t xml:space="preserve">Khoản 4 Điều 22 dự thảo Quyết định quy định </w:t>
            </w:r>
            <w:r>
              <w:rPr>
                <w:rFonts w:eastAsiaTheme="minorHAnsi"/>
                <w:b/>
                <w:bCs/>
                <w:i/>
                <w:iCs/>
                <w:color w:val="000000"/>
                <w:sz w:val="28"/>
                <w:szCs w:val="28"/>
              </w:rPr>
              <w:t>“</w:t>
            </w:r>
            <w:r>
              <w:rPr>
                <w:rFonts w:eastAsiaTheme="minorHAnsi"/>
                <w:i/>
                <w:iCs/>
                <w:color w:val="000000"/>
                <w:sz w:val="28"/>
                <w:szCs w:val="28"/>
              </w:rPr>
              <w:t xml:space="preserve">Hồ sơ đề nghị hủy bỏ quyết định </w:t>
            </w:r>
            <w:r>
              <w:rPr>
                <w:rFonts w:eastAsiaTheme="minorHAnsi"/>
                <w:i/>
                <w:iCs/>
                <w:color w:val="000000"/>
                <w:sz w:val="28"/>
                <w:szCs w:val="28"/>
              </w:rPr>
              <w:lastRenderedPageBreak/>
              <w:t>tặng danh hiệu thi đua, hình thức khen thưởng thuộc thẩm quyền của cơ quan, tổ chức, đơn vị thuộc tỉnh do Thủ trưởng cơ quan, tổ chức, đơn vị quy định chi tiết”.</w:t>
            </w:r>
          </w:p>
        </w:tc>
        <w:tc>
          <w:tcPr>
            <w:tcW w:w="5011" w:type="dxa"/>
            <w:vAlign w:val="center"/>
          </w:tcPr>
          <w:p>
            <w:pPr>
              <w:spacing w:before="60" w:after="60"/>
              <w:jc w:val="center"/>
              <w:rPr>
                <w:rFonts w:ascii="Times New Roman" w:eastAsia="Times New Roman" w:hAnsi="Times New Roman" w:cs="Times New Roman"/>
                <w:b/>
                <w:sz w:val="28"/>
                <w:szCs w:val="28"/>
                <w:u w:val="single"/>
              </w:rPr>
            </w:pPr>
            <w:r>
              <w:rPr>
                <w:rFonts w:ascii="Times New Roman" w:eastAsia="Times New Roman" w:hAnsi="Times New Roman" w:cs="Times New Roman"/>
                <w:bCs/>
                <w:color w:val="000000"/>
                <w:sz w:val="28"/>
                <w:szCs w:val="28"/>
              </w:rPr>
              <w:lastRenderedPageBreak/>
              <w:t>Đã tiếp thu vào dự thảo</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val="restart"/>
          </w:tcPr>
          <w:p>
            <w:pPr>
              <w:spacing w:before="60" w:after="6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Ủy ban nhân dân xã Hoằng Tiến</w:t>
            </w:r>
            <w:r>
              <w:rPr>
                <w:rFonts w:ascii="Times New Roman" w:eastAsia="Times New Roman" w:hAnsi="Times New Roman" w:cs="Times New Roman"/>
                <w:bCs/>
                <w:sz w:val="28"/>
                <w:szCs w:val="28"/>
              </w:rPr>
              <w:t xml:space="preserve"> (Công văn số 957/UBND-VHXH ngày 22/10/2025)</w:t>
            </w:r>
          </w:p>
        </w:tc>
        <w:tc>
          <w:tcPr>
            <w:tcW w:w="3543" w:type="dxa"/>
          </w:tcPr>
          <w:p>
            <w:pPr>
              <w:pStyle w:val="NormalWeb"/>
              <w:spacing w:before="60" w:beforeAutospacing="0" w:after="60" w:afterAutospacing="0"/>
              <w:jc w:val="both"/>
              <w:rPr>
                <w:rStyle w:val="fontstyle01"/>
                <w:b w:val="0"/>
              </w:rPr>
            </w:pPr>
            <w:r>
              <w:rPr>
                <w:rFonts w:ascii="TimesNewRomanPSMT" w:eastAsiaTheme="minorHAnsi" w:hAnsi="TimesNewRomanPSMT" w:cstheme="minorBidi"/>
                <w:color w:val="000000"/>
                <w:sz w:val="28"/>
                <w:szCs w:val="28"/>
              </w:rPr>
              <w:t>1. Đề nghị làm rõ thêm tiêu chí khen thưởng đối với doanh nghiệp, hợp tác xã, hộ</w:t>
            </w:r>
            <w:r>
              <w:rPr>
                <w:rFonts w:ascii="TimesNewRomanPSMT" w:eastAsiaTheme="minorHAnsi" w:hAnsi="TimesNewRomanPSMT" w:cstheme="minorBidi"/>
                <w:color w:val="000000"/>
                <w:sz w:val="28"/>
                <w:szCs w:val="28"/>
              </w:rPr>
              <w:br/>
              <w:t>gia đình có đóng góp về kinh tế - xã hội để tránh trùng lặp giữa “Bằng khen của Chủ</w:t>
            </w:r>
            <w:r>
              <w:rPr>
                <w:rFonts w:ascii="TimesNewRomanPSMT" w:eastAsiaTheme="minorHAnsi" w:hAnsi="TimesNewRomanPSMT" w:cstheme="minorBidi"/>
                <w:color w:val="000000"/>
                <w:sz w:val="28"/>
                <w:szCs w:val="28"/>
              </w:rPr>
              <w:br/>
              <w:t>tịch UBND tỉnh” và “Giấy khen của Chủ tịch UBND xã”.</w:t>
            </w:r>
          </w:p>
        </w:tc>
        <w:tc>
          <w:tcPr>
            <w:tcW w:w="5011" w:type="dxa"/>
          </w:tcPr>
          <w:p>
            <w:pPr>
              <w:spacing w:before="60" w:after="60"/>
              <w:jc w:val="both"/>
              <w:rPr>
                <w:rFonts w:ascii="TimesNewRomanPSMT" w:hAnsi="TimesNewRomanPSMT"/>
                <w:color w:val="000000"/>
                <w:sz w:val="28"/>
                <w:szCs w:val="28"/>
              </w:rPr>
            </w:pPr>
            <w:r>
              <w:rPr>
                <w:rFonts w:ascii="Times New Roman" w:eastAsia="Times New Roman" w:hAnsi="Times New Roman" w:cs="Times New Roman"/>
                <w:b/>
                <w:sz w:val="28"/>
                <w:szCs w:val="28"/>
                <w:u w:val="single"/>
              </w:rPr>
              <w:t>Đề xuất giữ nguyên như dự thảo</w:t>
            </w:r>
            <w:r>
              <w:rPr>
                <w:rFonts w:ascii="Times New Roman" w:eastAsia="Times New Roman" w:hAnsi="Times New Roman" w:cs="Times New Roman"/>
                <w:sz w:val="28"/>
                <w:szCs w:val="28"/>
              </w:rPr>
              <w:t xml:space="preserve"> L</w:t>
            </w:r>
            <w:r>
              <w:rPr>
                <w:rFonts w:ascii="TimesNewRomanPSMT" w:hAnsi="TimesNewRomanPSMT"/>
                <w:color w:val="000000"/>
                <w:sz w:val="28"/>
                <w:szCs w:val="28"/>
              </w:rPr>
              <w:t>ý do:</w:t>
            </w:r>
          </w:p>
          <w:p>
            <w:pPr>
              <w:spacing w:before="60" w:after="60"/>
              <w:jc w:val="both"/>
              <w:rPr>
                <w:rFonts w:ascii="Times New Roman" w:eastAsia="Times New Roman" w:hAnsi="Times New Roman" w:cs="Times New Roman"/>
                <w:b/>
                <w:sz w:val="28"/>
                <w:szCs w:val="28"/>
                <w:u w:val="single"/>
              </w:rPr>
            </w:pPr>
            <w:r>
              <w:rPr>
                <w:rFonts w:ascii="TimesNewRomanPSMT" w:hAnsi="TimesNewRomanPSMT"/>
                <w:color w:val="000000"/>
                <w:sz w:val="28"/>
                <w:szCs w:val="28"/>
              </w:rPr>
              <w:t>Điều kiện kinh tế, xã hội của các vùng miền ở tỉnh ta có sự khác biệt, thậm chí là chênh lệch lớn (giữa miền núi cao, miền núi thấp, vùng đồng bằng, vùng biển, đô thị) do đó việc quy định cụ thể việc đóng góp về kinh tế - xã hội của doanh nghiệp, hợp tác xã, hộ gia đình có thể phù hợp với địa phương này nhưng lại lại không phù hợp với địa phương khác; có thể phù hợp ở thời điểm này nhưng lại không còn phù hợp so với thời điểm khác về sau. Do đó các tiêu chí cụ thể nên để cho các cơ quan, tổ chức, địa phương tùy vào tình hình cụ thể để quy định trong Quy chế/Quy định về công tác thi đua, khen thưởng của cơ quan, tổ chức, địa phương mình</w:t>
            </w:r>
            <w:r>
              <w:rPr>
                <w:rFonts w:ascii="Times New Roman" w:eastAsia="Times New Roman" w:hAnsi="Times New Roman" w:cs="Times New Roman"/>
                <w:b/>
                <w:sz w:val="28"/>
                <w:szCs w:val="28"/>
                <w:u w:val="single"/>
              </w:rPr>
              <w:t>.</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tcPr>
          <w:p>
            <w:pPr>
              <w:spacing w:before="60" w:after="60"/>
              <w:jc w:val="both"/>
              <w:rPr>
                <w:rFonts w:ascii="Times New Roman" w:eastAsia="Times New Roman" w:hAnsi="Times New Roman" w:cs="Times New Roman"/>
                <w:sz w:val="28"/>
                <w:szCs w:val="28"/>
              </w:rPr>
            </w:pPr>
          </w:p>
        </w:tc>
        <w:tc>
          <w:tcPr>
            <w:tcW w:w="3543" w:type="dxa"/>
          </w:tcPr>
          <w:p>
            <w:pPr>
              <w:spacing w:before="60" w:after="60"/>
              <w:jc w:val="both"/>
              <w:rPr>
                <w:rStyle w:val="fontstyle01"/>
                <w:rFonts w:eastAsia="Times New Roman"/>
                <w:b w:val="0"/>
                <w:bCs w:val="0"/>
                <w:color w:val="auto"/>
              </w:rPr>
            </w:pPr>
            <w:r>
              <w:rPr>
                <w:rFonts w:ascii="TimesNewRomanPSMT" w:hAnsi="TimesNewRomanPSMT"/>
                <w:color w:val="000000"/>
                <w:sz w:val="28"/>
                <w:szCs w:val="28"/>
              </w:rPr>
              <w:t>2. Nên quy định cụ thể tỷ lệ hoặc nguyên tắc phân bổ chỉ tiêu khen thưởng hằng</w:t>
            </w:r>
            <w:r>
              <w:rPr>
                <w:rFonts w:ascii="TimesNewRomanPSMT" w:hAnsi="TimesNewRomanPSMT"/>
                <w:color w:val="000000"/>
                <w:sz w:val="28"/>
                <w:szCs w:val="28"/>
              </w:rPr>
              <w:br/>
            </w:r>
            <w:r>
              <w:rPr>
                <w:rFonts w:ascii="TimesNewRomanPSMT" w:hAnsi="TimesNewRomanPSMT"/>
                <w:color w:val="000000"/>
                <w:sz w:val="28"/>
                <w:szCs w:val="28"/>
              </w:rPr>
              <w:lastRenderedPageBreak/>
              <w:t>năm cho các ngành, địa phương, tránh tình trạng dàn trải hoặc trùng lặp đối tượng.</w:t>
            </w:r>
          </w:p>
        </w:tc>
        <w:tc>
          <w:tcPr>
            <w:tcW w:w="5011" w:type="dxa"/>
          </w:tcPr>
          <w:p>
            <w:pPr>
              <w:spacing w:before="60" w:after="60"/>
              <w:jc w:val="both"/>
              <w:rPr>
                <w:rFonts w:ascii="TimesNewRomanPSMT" w:hAnsi="TimesNewRomanPSMT"/>
                <w:color w:val="000000"/>
                <w:sz w:val="28"/>
                <w:szCs w:val="28"/>
              </w:rPr>
            </w:pPr>
            <w:r>
              <w:rPr>
                <w:rFonts w:ascii="Times New Roman" w:eastAsia="Times New Roman" w:hAnsi="Times New Roman" w:cs="Times New Roman"/>
                <w:b/>
                <w:sz w:val="28"/>
                <w:szCs w:val="28"/>
                <w:u w:val="single"/>
              </w:rPr>
              <w:lastRenderedPageBreak/>
              <w:t>Đề xuất giữ nguyên như dự thảo</w:t>
            </w:r>
            <w:r>
              <w:rPr>
                <w:rFonts w:ascii="Times New Roman" w:eastAsia="Times New Roman" w:hAnsi="Times New Roman" w:cs="Times New Roman"/>
                <w:sz w:val="28"/>
                <w:szCs w:val="28"/>
              </w:rPr>
              <w:t xml:space="preserve"> L</w:t>
            </w:r>
            <w:r>
              <w:rPr>
                <w:rFonts w:ascii="TimesNewRomanPSMT" w:hAnsi="TimesNewRomanPSMT"/>
                <w:color w:val="000000"/>
                <w:sz w:val="28"/>
                <w:szCs w:val="28"/>
              </w:rPr>
              <w:t>ý do:</w:t>
            </w:r>
          </w:p>
          <w:p>
            <w:pPr>
              <w:spacing w:before="60" w:after="60"/>
              <w:jc w:val="both"/>
              <w:rPr>
                <w:rFonts w:ascii="Times New Roman" w:eastAsia="Times New Roman" w:hAnsi="Times New Roman" w:cs="Times New Roman"/>
                <w:b/>
                <w:sz w:val="28"/>
                <w:szCs w:val="28"/>
                <w:u w:val="single"/>
              </w:rPr>
            </w:pPr>
            <w:r>
              <w:rPr>
                <w:rFonts w:ascii="TimesNewRomanPSMT" w:hAnsi="TimesNewRomanPSMT"/>
                <w:color w:val="000000"/>
                <w:sz w:val="28"/>
                <w:szCs w:val="28"/>
              </w:rPr>
              <w:t xml:space="preserve">Việc quy định cụ thể tỷ lệ hoặc bổ chỉ tiêu khen thưởng hằng năm cho các ngành, địa </w:t>
            </w:r>
            <w:r>
              <w:rPr>
                <w:rFonts w:ascii="TimesNewRomanPSMT" w:hAnsi="TimesNewRomanPSMT"/>
                <w:color w:val="000000"/>
                <w:sz w:val="28"/>
                <w:szCs w:val="28"/>
              </w:rPr>
              <w:lastRenderedPageBreak/>
              <w:t>phương sẽ vi phạm nguyên tắc khen thưởng được quy định tại Điều 5 Luật Thi đua, khen thưởng: “thành tích đến đâu khen thưởng đến đó”.</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tcPr>
          <w:p>
            <w:pPr>
              <w:spacing w:before="60" w:after="60"/>
              <w:jc w:val="both"/>
              <w:rPr>
                <w:rFonts w:ascii="Times New Roman" w:eastAsia="Times New Roman" w:hAnsi="Times New Roman" w:cs="Times New Roman"/>
                <w:sz w:val="28"/>
                <w:szCs w:val="28"/>
              </w:rPr>
            </w:pPr>
          </w:p>
        </w:tc>
        <w:tc>
          <w:tcPr>
            <w:tcW w:w="3543" w:type="dxa"/>
          </w:tcPr>
          <w:p>
            <w:pPr>
              <w:spacing w:before="60" w:after="60"/>
              <w:jc w:val="both"/>
              <w:rPr>
                <w:rFonts w:ascii="Times New Roman" w:eastAsia="Times New Roman" w:hAnsi="Times New Roman" w:cs="Times New Roman"/>
                <w:sz w:val="28"/>
                <w:szCs w:val="28"/>
              </w:rPr>
            </w:pPr>
            <w:r>
              <w:rPr>
                <w:rFonts w:ascii="TimesNewRomanPSMT" w:hAnsi="TimesNewRomanPSMT"/>
                <w:color w:val="000000"/>
                <w:sz w:val="28"/>
                <w:szCs w:val="28"/>
              </w:rPr>
              <w:t>3. Bổ sung hướng dẫn chi tiết hồ sơ khen thưởng đối với các trường hợp khen</w:t>
            </w:r>
            <w:r>
              <w:rPr>
                <w:rFonts w:ascii="TimesNewRomanPSMT" w:hAnsi="TimesNewRomanPSMT"/>
                <w:color w:val="000000"/>
                <w:sz w:val="28"/>
                <w:szCs w:val="28"/>
              </w:rPr>
              <w:br/>
              <w:t>thưởng đột xuất, khen thưởng chuyên đề để thuận lợi cho cơ sở khi lập hồ sơ.</w:t>
            </w:r>
          </w:p>
        </w:tc>
        <w:tc>
          <w:tcPr>
            <w:tcW w:w="5011" w:type="dxa"/>
          </w:tcPr>
          <w:p>
            <w:pPr>
              <w:spacing w:before="60" w:after="60"/>
              <w:jc w:val="both"/>
              <w:rPr>
                <w:rFonts w:ascii="TimesNewRomanPSMT" w:hAnsi="TimesNewRomanPSMT"/>
                <w:color w:val="000000"/>
                <w:sz w:val="28"/>
                <w:szCs w:val="28"/>
              </w:rPr>
            </w:pPr>
            <w:r>
              <w:rPr>
                <w:rFonts w:ascii="Times New Roman" w:eastAsia="Times New Roman" w:hAnsi="Times New Roman" w:cs="Times New Roman"/>
                <w:b/>
                <w:sz w:val="28"/>
                <w:szCs w:val="28"/>
                <w:u w:val="single"/>
              </w:rPr>
              <w:t>Đề xuất giữ nguyên như dự thảo</w:t>
            </w:r>
            <w:r>
              <w:rPr>
                <w:rFonts w:ascii="Times New Roman" w:eastAsia="Times New Roman" w:hAnsi="Times New Roman" w:cs="Times New Roman"/>
                <w:sz w:val="28"/>
                <w:szCs w:val="28"/>
              </w:rPr>
              <w:t xml:space="preserve"> L</w:t>
            </w:r>
            <w:r>
              <w:rPr>
                <w:rFonts w:ascii="TimesNewRomanPSMT" w:hAnsi="TimesNewRomanPSMT"/>
                <w:color w:val="000000"/>
                <w:sz w:val="28"/>
                <w:szCs w:val="28"/>
              </w:rPr>
              <w:t>ý do:</w:t>
            </w:r>
          </w:p>
          <w:p>
            <w:pPr>
              <w:spacing w:before="60" w:after="60"/>
              <w:jc w:val="both"/>
              <w:rPr>
                <w:rFonts w:ascii="TimesNewRomanPSMT" w:hAnsi="TimesNewRomanPSMT"/>
                <w:color w:val="000000"/>
                <w:sz w:val="28"/>
                <w:szCs w:val="28"/>
              </w:rPr>
            </w:pPr>
            <w:r>
              <w:rPr>
                <w:rFonts w:ascii="TimesNewRomanPSMT" w:hAnsi="TimesNewRomanPSMT"/>
                <w:color w:val="000000"/>
                <w:sz w:val="28"/>
                <w:szCs w:val="28"/>
              </w:rPr>
              <w:t>Hồ sơ khen thưởng đối với các trường hợp khen thưởng đột xuất, khen thưởng chuyên đề đã được quy định cụ thể tại Điều 14, Điều 15, Điều 16 và các biểu mẫu kèm theo Phụ lục 1 của dự thảo.</w:t>
            </w:r>
          </w:p>
        </w:tc>
      </w:tr>
      <w:tr>
        <w:trPr>
          <w:trHeight w:val="8289"/>
        </w:trP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tcBorders>
              <w:bottom w:val="single" w:sz="4" w:space="0" w:color="auto"/>
            </w:tcBorders>
          </w:tcPr>
          <w:p>
            <w:pPr>
              <w:spacing w:before="60" w:after="60"/>
              <w:jc w:val="both"/>
              <w:rPr>
                <w:rFonts w:ascii="Times New Roman" w:eastAsia="Times New Roman" w:hAnsi="Times New Roman" w:cs="Times New Roman"/>
                <w:sz w:val="28"/>
                <w:szCs w:val="28"/>
              </w:rPr>
            </w:pPr>
          </w:p>
        </w:tc>
        <w:tc>
          <w:tcPr>
            <w:tcW w:w="3543" w:type="dxa"/>
            <w:tcBorders>
              <w:bottom w:val="single" w:sz="4" w:space="0" w:color="auto"/>
            </w:tcBorders>
          </w:tcPr>
          <w:p>
            <w:pPr>
              <w:spacing w:before="60" w:after="60"/>
              <w:jc w:val="both"/>
              <w:rPr>
                <w:rFonts w:ascii="Times New Roman" w:eastAsia="Times New Roman" w:hAnsi="Times New Roman" w:cs="Times New Roman"/>
                <w:sz w:val="28"/>
                <w:szCs w:val="28"/>
              </w:rPr>
            </w:pPr>
            <w:r>
              <w:rPr>
                <w:rFonts w:ascii="TimesNewRomanPSMT" w:hAnsi="TimesNewRomanPSMT"/>
                <w:color w:val="000000"/>
                <w:sz w:val="28"/>
                <w:szCs w:val="28"/>
              </w:rPr>
              <w:t>4. Cần quy định rõ trách nhiệm của cơ quan tham mưu công tác thi đua, khen thưởng trong việc kiểm tra, thẩm định thành tích, nhằm đảm bảo tính chính xác, công bằng, minh bạch.</w:t>
            </w:r>
          </w:p>
        </w:tc>
        <w:tc>
          <w:tcPr>
            <w:tcW w:w="5011" w:type="dxa"/>
            <w:tcBorders>
              <w:bottom w:val="single" w:sz="4" w:space="0" w:color="auto"/>
            </w:tcBorders>
          </w:tcPr>
          <w:p>
            <w:pPr>
              <w:spacing w:before="60" w:after="60"/>
              <w:jc w:val="both"/>
              <w:rPr>
                <w:rFonts w:ascii="TimesNewRomanPSMT" w:hAnsi="TimesNewRomanPSMT"/>
                <w:color w:val="000000"/>
                <w:sz w:val="28"/>
                <w:szCs w:val="28"/>
              </w:rPr>
            </w:pPr>
            <w:r>
              <w:rPr>
                <w:rFonts w:ascii="Times New Roman" w:eastAsia="Times New Roman" w:hAnsi="Times New Roman" w:cs="Times New Roman"/>
                <w:b/>
                <w:sz w:val="28"/>
                <w:szCs w:val="28"/>
                <w:u w:val="single"/>
              </w:rPr>
              <w:t>Đề xuất giữ nguyên như dự thảo</w:t>
            </w:r>
            <w:r>
              <w:rPr>
                <w:rFonts w:ascii="Times New Roman" w:eastAsia="Times New Roman" w:hAnsi="Times New Roman" w:cs="Times New Roman"/>
                <w:sz w:val="28"/>
                <w:szCs w:val="28"/>
              </w:rPr>
              <w:t xml:space="preserve"> L</w:t>
            </w:r>
            <w:r>
              <w:rPr>
                <w:rFonts w:ascii="TimesNewRomanPSMT" w:hAnsi="TimesNewRomanPSMT"/>
                <w:color w:val="000000"/>
                <w:sz w:val="28"/>
                <w:szCs w:val="28"/>
              </w:rPr>
              <w:t>ý do:</w:t>
            </w:r>
          </w:p>
          <w:p>
            <w:pPr>
              <w:spacing w:before="60" w:after="60"/>
              <w:jc w:val="both"/>
              <w:rPr>
                <w:rFonts w:ascii="TimesNewRomanPSMT" w:hAnsi="TimesNewRomanPSMT"/>
                <w:color w:val="000000"/>
                <w:sz w:val="28"/>
                <w:szCs w:val="28"/>
              </w:rPr>
            </w:pPr>
            <w:r>
              <w:rPr>
                <w:rFonts w:ascii="TimesNewRomanPSMT" w:hAnsi="TimesNewRomanPSMT"/>
                <w:color w:val="000000"/>
                <w:sz w:val="28"/>
                <w:szCs w:val="28"/>
              </w:rPr>
              <w:t>Trách nhiệm của cơ quan tham mưu công tác thi đua, khen thưởng trong việc kiểm tra, thẩm định thành tích đã được quy định điểm c khoản 1 Điều 39 Luật Thi đua, khen thưởng, cụ thể: Người nào có hành vi vi phạm pháp luật về thi đua, khen thưởng thì tùy theo tính chất, mức độ vi phạm mà bị xử lý kỷ luật, xử phạt vi phạm hành chính hoặc bị truy cứu trách nhiệm hình sự; nếu gây thiệt hại thì phải bồi thường theo quy định của pháp luật. Một trong những hành vi vi phạm là: Thẩm định, xét duyệt, đề nghị danh hiệu thi đua, hình thức khen thưởng trái quy định của pháp luật.</w:t>
            </w:r>
          </w:p>
          <w:p>
            <w:pPr>
              <w:spacing w:before="60" w:after="60"/>
              <w:jc w:val="both"/>
              <w:rPr>
                <w:rFonts w:ascii="TimesNewRomanPSMT" w:hAnsi="TimesNewRomanPSMT"/>
                <w:color w:val="000000"/>
                <w:sz w:val="28"/>
                <w:szCs w:val="28"/>
              </w:rPr>
            </w:pPr>
            <w:r>
              <w:rPr>
                <w:rFonts w:ascii="TimesNewRomanPSMT" w:hAnsi="TimesNewRomanPSMT"/>
                <w:color w:val="000000"/>
                <w:sz w:val="28"/>
                <w:szCs w:val="28"/>
              </w:rPr>
              <w:t>Tại biểu mẫu số 01 của Phụ lục 1 trong dự thảo (mẫu Tờ trình khen thưởng) có nội dung yêu cầu cơ quan, đơn vị, địa phương trình khen thưởng phải khẳng định rõ trong Tờ trình: “Các trường hợp đề nghị khen thưởng trên đã được đơn vị xét duyệt, thẩm định đảm bảo đúng quy định về đối tượng, tiêu chuẩn, hồ sơ, thủ tục theo quy định hiện hành”.</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tcPr>
          <w:p>
            <w:pPr>
              <w:spacing w:before="60" w:after="60"/>
              <w:jc w:val="both"/>
              <w:rPr>
                <w:rFonts w:ascii="Times New Roman" w:hAnsi="Times New Roman" w:cs="Times New Roman"/>
                <w:sz w:val="28"/>
                <w:szCs w:val="28"/>
              </w:rPr>
            </w:pPr>
            <w:r>
              <w:rPr>
                <w:rFonts w:ascii="Times New Roman" w:hAnsi="Times New Roman" w:cs="Times New Roman"/>
                <w:b/>
                <w:sz w:val="28"/>
                <w:szCs w:val="28"/>
              </w:rPr>
              <w:t xml:space="preserve">Ủy ban nhân dân </w:t>
            </w:r>
            <w:r>
              <w:rPr>
                <w:rFonts w:ascii="Times New Roman" w:hAnsi="Times New Roman" w:cs="Times New Roman"/>
                <w:b/>
                <w:sz w:val="28"/>
                <w:szCs w:val="28"/>
              </w:rPr>
              <w:lastRenderedPageBreak/>
              <w:t>phường Quảng Phú</w:t>
            </w:r>
            <w:r>
              <w:rPr>
                <w:rFonts w:ascii="Times New Roman" w:hAnsi="Times New Roman" w:cs="Times New Roman"/>
                <w:sz w:val="28"/>
                <w:szCs w:val="28"/>
              </w:rPr>
              <w:t xml:space="preserve"> (Công văn số 1546/UBND-VHXH ngày 26/10/2025)</w:t>
            </w:r>
          </w:p>
        </w:tc>
        <w:tc>
          <w:tcPr>
            <w:tcW w:w="3543" w:type="dxa"/>
          </w:tcPr>
          <w:p>
            <w:pPr>
              <w:spacing w:before="60" w:after="60"/>
              <w:jc w:val="both"/>
              <w:rPr>
                <w:rFonts w:ascii="Times New Roman" w:hAnsi="Times New Roman" w:cs="Times New Roman"/>
                <w:sz w:val="28"/>
                <w:szCs w:val="28"/>
              </w:rPr>
            </w:pPr>
            <w:r>
              <w:rPr>
                <w:rFonts w:ascii="TimesNewRomanPSMT" w:hAnsi="TimesNewRomanPSMT"/>
                <w:color w:val="000000"/>
                <w:sz w:val="28"/>
                <w:szCs w:val="28"/>
              </w:rPr>
              <w:lastRenderedPageBreak/>
              <w:t xml:space="preserve">Tại khoản 3, Điều 3 về </w:t>
            </w:r>
            <w:r>
              <w:rPr>
                <w:rFonts w:ascii="TimesNewRomanPSMT" w:hAnsi="TimesNewRomanPSMT"/>
                <w:color w:val="000000"/>
                <w:sz w:val="28"/>
                <w:szCs w:val="28"/>
              </w:rPr>
              <w:lastRenderedPageBreak/>
              <w:t>nguyên tắc thi đua, khen thưởng, quy định điều</w:t>
            </w:r>
            <w:r>
              <w:rPr>
                <w:rFonts w:ascii="TimesNewRomanPSMT" w:hAnsi="TimesNewRomanPSMT"/>
                <w:color w:val="000000"/>
                <w:sz w:val="28"/>
                <w:szCs w:val="28"/>
              </w:rPr>
              <w:br/>
              <w:t>kiện đối với doanh nghiệp đề nghị khen thưởng là “hoạt động liên tục 02 năm</w:t>
            </w:r>
            <w:r>
              <w:rPr>
                <w:rFonts w:ascii="TimesNewRomanPSMT" w:hAnsi="TimesNewRomanPSMT"/>
                <w:color w:val="000000"/>
                <w:sz w:val="28"/>
                <w:szCs w:val="28"/>
              </w:rPr>
              <w:br/>
              <w:t>trở lên”. Đề nghị: Bổ sung rõ căn cứ xác định “02 năm liên tục” theo giấy chứng</w:t>
            </w:r>
            <w:r>
              <w:rPr>
                <w:rFonts w:ascii="TimesNewRomanPSMT" w:hAnsi="TimesNewRomanPSMT"/>
                <w:color w:val="000000"/>
                <w:sz w:val="28"/>
                <w:szCs w:val="28"/>
              </w:rPr>
              <w:br/>
              <w:t>nhận đăng ký doanh nghiệp hoặc theo năm tài chính được cơ quan thuế xác nhận,</w:t>
            </w:r>
            <w:r>
              <w:rPr>
                <w:rFonts w:ascii="TimesNewRomanPSMT" w:hAnsi="TimesNewRomanPSMT"/>
                <w:color w:val="000000"/>
                <w:sz w:val="28"/>
                <w:szCs w:val="28"/>
              </w:rPr>
              <w:br/>
              <w:t>để thuận lợi trong việc thẩm định hồ sơ.</w:t>
            </w:r>
          </w:p>
        </w:tc>
        <w:tc>
          <w:tcPr>
            <w:tcW w:w="5011" w:type="dxa"/>
          </w:tcPr>
          <w:p>
            <w:pPr>
              <w:spacing w:before="60" w:after="60"/>
              <w:jc w:val="both"/>
              <w:rPr>
                <w:rFonts w:ascii="TimesNewRomanPSMT" w:hAnsi="TimesNewRomanPSMT"/>
                <w:color w:val="000000"/>
                <w:sz w:val="28"/>
                <w:szCs w:val="28"/>
              </w:rPr>
            </w:pPr>
            <w:r>
              <w:rPr>
                <w:rFonts w:ascii="Times New Roman" w:eastAsia="Times New Roman" w:hAnsi="Times New Roman" w:cs="Times New Roman"/>
                <w:b/>
                <w:sz w:val="28"/>
                <w:szCs w:val="28"/>
                <w:u w:val="single"/>
              </w:rPr>
              <w:lastRenderedPageBreak/>
              <w:t>Đề xuất giữ nguyên như dự thảo</w:t>
            </w:r>
            <w:r>
              <w:rPr>
                <w:rFonts w:ascii="Times New Roman" w:eastAsia="Times New Roman" w:hAnsi="Times New Roman" w:cs="Times New Roman"/>
                <w:sz w:val="28"/>
                <w:szCs w:val="28"/>
              </w:rPr>
              <w:t xml:space="preserve"> Lý do</w:t>
            </w:r>
            <w:r>
              <w:rPr>
                <w:rFonts w:ascii="Times New Roman" w:eastAsia="Times New Roman" w:hAnsi="Times New Roman" w:cs="Times New Roman"/>
                <w:sz w:val="28"/>
                <w:szCs w:val="28"/>
                <w:lang w:val="vi-VN"/>
              </w:rPr>
              <w:t>:</w:t>
            </w:r>
          </w:p>
          <w:p>
            <w:pPr>
              <w:spacing w:before="60" w:after="60"/>
              <w:jc w:val="both"/>
              <w:rPr>
                <w:rFonts w:ascii="Times New Roman" w:eastAsia="Times New Roman" w:hAnsi="Times New Roman" w:cs="Times New Roman"/>
                <w:b/>
                <w:sz w:val="28"/>
                <w:szCs w:val="28"/>
                <w:u w:val="single"/>
              </w:rPr>
            </w:pPr>
            <w:r>
              <w:rPr>
                <w:rFonts w:ascii="TimesNewRomanPSMT" w:hAnsi="TimesNewRomanPSMT"/>
                <w:color w:val="000000"/>
                <w:sz w:val="28"/>
                <w:szCs w:val="28"/>
              </w:rPr>
              <w:lastRenderedPageBreak/>
              <w:t xml:space="preserve">Nội dung này đã được quy định tại điểm e khoản 2 Điều 14 dự thảo về hồ sơ đề nghị khen thưởng phải có "Thời gian hoạt động liên tục 02 năm trở lên" sẽ được xác định dựa trên </w:t>
            </w:r>
            <w:r>
              <w:rPr>
                <w:rFonts w:ascii="TimesNewRomanPSMT" w:hAnsi="TimesNewRomanPSMT"/>
                <w:bCs/>
                <w:color w:val="000000"/>
                <w:sz w:val="28"/>
                <w:szCs w:val="28"/>
              </w:rPr>
              <w:t>báo cáo tài chính, tờ khai thuế</w:t>
            </w:r>
            <w:r>
              <w:rPr>
                <w:rFonts w:ascii="TimesNewRomanPSMT" w:hAnsi="TimesNewRomanPSMT"/>
                <w:color w:val="000000"/>
                <w:sz w:val="28"/>
                <w:szCs w:val="28"/>
              </w:rPr>
              <w:t> đã được cơ quan thuế xác nhận cho hai năm đó; tránh trường hợp doanh nghiệp thành lập đã lâu nhưng không hoạt động liên tục, đảm bảo sự công bằng và minh bạch trong công tác khen thưởng.</w:t>
            </w:r>
            <w:r>
              <w:rPr>
                <w:rStyle w:val="vkekvd"/>
                <w:rFonts w:ascii="Arial" w:hAnsi="Arial" w:cs="Arial"/>
                <w:color w:val="0A0A0A"/>
                <w:shd w:val="clear" w:color="auto" w:fill="FFFFFF"/>
              </w:rPr>
              <w:t xml:space="preserve">  </w:t>
            </w:r>
          </w:p>
        </w:tc>
      </w:tr>
      <w:tr>
        <w:tc>
          <w:tcPr>
            <w:tcW w:w="746" w:type="dxa"/>
            <w:vMerge w:val="restart"/>
            <w:vAlign w:val="center"/>
          </w:tcPr>
          <w:p>
            <w:pPr>
              <w:pStyle w:val="ListParagraph"/>
              <w:numPr>
                <w:ilvl w:val="0"/>
                <w:numId w:val="1"/>
              </w:numPr>
              <w:spacing w:before="60" w:after="60"/>
              <w:jc w:val="center"/>
              <w:rPr>
                <w:rStyle w:val="fontstyle01"/>
                <w:b w:val="0"/>
              </w:rPr>
            </w:pPr>
          </w:p>
        </w:tc>
        <w:tc>
          <w:tcPr>
            <w:tcW w:w="1900" w:type="dxa"/>
            <w:vMerge w:val="restart"/>
          </w:tcPr>
          <w:p>
            <w:pPr>
              <w:spacing w:before="60" w:after="60"/>
              <w:rPr>
                <w:rStyle w:val="fontstyle01"/>
                <w:b w:val="0"/>
              </w:rPr>
            </w:pPr>
            <w:r>
              <w:rPr>
                <w:rFonts w:ascii="Times New Roman" w:eastAsia="Times New Roman" w:hAnsi="Times New Roman" w:cs="Times New Roman"/>
                <w:b/>
                <w:bCs/>
                <w:color w:val="000000"/>
                <w:sz w:val="28"/>
                <w:szCs w:val="28"/>
              </w:rPr>
              <w:t>Về hồ sơ, thủ tục</w:t>
            </w:r>
            <w:r>
              <w:rPr>
                <w:rFonts w:ascii="Times New Roman" w:eastAsia="Times New Roman" w:hAnsi="Times New Roman" w:cs="Times New Roman"/>
                <w:b/>
                <w:bCs/>
                <w:color w:val="000000"/>
                <w:sz w:val="28"/>
                <w:szCs w:val="28"/>
              </w:rPr>
              <w:br/>
              <w:t>đề nghị khen</w:t>
            </w:r>
            <w:r>
              <w:rPr>
                <w:rFonts w:ascii="Times New Roman" w:eastAsia="Times New Roman" w:hAnsi="Times New Roman" w:cs="Times New Roman"/>
                <w:b/>
                <w:bCs/>
                <w:color w:val="000000"/>
                <w:sz w:val="28"/>
                <w:szCs w:val="28"/>
              </w:rPr>
              <w:br/>
              <w:t>thưởng</w:t>
            </w:r>
          </w:p>
        </w:tc>
        <w:tc>
          <w:tcPr>
            <w:tcW w:w="3021" w:type="dxa"/>
          </w:tcPr>
          <w:p>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b/>
                <w:color w:val="000000" w:themeColor="text1"/>
                <w:sz w:val="28"/>
                <w:szCs w:val="28"/>
              </w:rPr>
              <w:t>Sở Tài chính</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(tại Công văn số 11156/STC-VP ngày 27/10/2025)</w:t>
            </w:r>
          </w:p>
        </w:tc>
        <w:tc>
          <w:tcPr>
            <w:tcW w:w="3543" w:type="dxa"/>
          </w:tcPr>
          <w:p>
            <w:pPr>
              <w:spacing w:before="60" w:after="60"/>
              <w:jc w:val="both"/>
              <w:rPr>
                <w:rFonts w:ascii="Times New Roman" w:hAnsi="Times New Roman" w:cs="Times New Roman"/>
                <w:color w:val="000000"/>
                <w:sz w:val="28"/>
                <w:szCs w:val="28"/>
              </w:rPr>
            </w:pPr>
            <w:r>
              <w:rPr>
                <w:rFonts w:ascii="Times New Roman" w:hAnsi="Times New Roman" w:cs="Times New Roman"/>
                <w:color w:val="000000"/>
                <w:sz w:val="28"/>
                <w:szCs w:val="28"/>
              </w:rPr>
              <w:t>Về hình thức công khai: Tại khoản 5 Điều 11 dự thảo Quyết định “</w:t>
            </w:r>
            <w:r>
              <w:rPr>
                <w:rFonts w:ascii="Times New Roman" w:hAnsi="Times New Roman" w:cs="Times New Roman"/>
                <w:i/>
                <w:iCs/>
                <w:color w:val="000000"/>
                <w:sz w:val="28"/>
                <w:szCs w:val="28"/>
              </w:rPr>
              <w:t>Sở Nội vụ công khai danh sách cá nhân, tập thể, hộ gia đình đề nghị xét tặng Huân chương, danh hiệu vinh dự Nhà nước trên Cổng thông tin điện tử tỉnh, Báo</w:t>
            </w:r>
            <w:r>
              <w:rPr>
                <w:i/>
                <w:iCs/>
                <w:color w:val="000000"/>
                <w:sz w:val="28"/>
                <w:szCs w:val="28"/>
              </w:rPr>
              <w:t xml:space="preserve"> </w:t>
            </w:r>
            <w:r>
              <w:rPr>
                <w:rFonts w:ascii="Times New Roman" w:hAnsi="Times New Roman" w:cs="Times New Roman"/>
                <w:i/>
                <w:iCs/>
                <w:color w:val="000000"/>
                <w:sz w:val="28"/>
                <w:szCs w:val="28"/>
              </w:rPr>
              <w:t>Thanh Hóa ít nhất 10 ngày làm việc trước khi họp Hội đồng Thi đua - Khen</w:t>
            </w:r>
            <w:r>
              <w:rPr>
                <w:i/>
                <w:iCs/>
                <w:color w:val="000000"/>
                <w:sz w:val="28"/>
                <w:szCs w:val="28"/>
              </w:rPr>
              <w:br/>
            </w:r>
            <w:r>
              <w:rPr>
                <w:rFonts w:ascii="Times New Roman" w:hAnsi="Times New Roman" w:cs="Times New Roman"/>
                <w:i/>
                <w:iCs/>
                <w:color w:val="000000"/>
                <w:sz w:val="28"/>
                <w:szCs w:val="28"/>
              </w:rPr>
              <w:t>thưởng tỉnh”</w:t>
            </w:r>
            <w:r>
              <w:rPr>
                <w:rFonts w:ascii="Times New Roman" w:hAnsi="Times New Roman" w:cs="Times New Roman"/>
                <w:color w:val="000000"/>
                <w:sz w:val="28"/>
                <w:szCs w:val="28"/>
              </w:rPr>
              <w:t xml:space="preserve">; đề nghị Sở Nội vụ bổ sung, làm rõ việc công khai trên Báo Thanh Hóa là </w:t>
            </w:r>
            <w:r>
              <w:rPr>
                <w:rFonts w:ascii="Times New Roman" w:hAnsi="Times New Roman" w:cs="Times New Roman"/>
                <w:color w:val="000000"/>
                <w:sz w:val="28"/>
                <w:szCs w:val="28"/>
              </w:rPr>
              <w:lastRenderedPageBreak/>
              <w:t>báo giấy hay báo điện tử.</w:t>
            </w:r>
          </w:p>
        </w:tc>
        <w:tc>
          <w:tcPr>
            <w:tcW w:w="5011" w:type="dxa"/>
          </w:tcPr>
          <w:p>
            <w:pPr>
              <w:spacing w:before="60" w:after="60"/>
              <w:jc w:val="both"/>
              <w:rPr>
                <w:rFonts w:ascii="Times New Roman" w:hAnsi="Times New Roman" w:cs="Times New Roman"/>
                <w:iCs/>
                <w:color w:val="000000"/>
                <w:sz w:val="28"/>
                <w:szCs w:val="28"/>
              </w:rPr>
            </w:pPr>
            <w:r>
              <w:rPr>
                <w:rFonts w:ascii="Times New Roman" w:eastAsia="Times New Roman" w:hAnsi="Times New Roman" w:cs="Times New Roman"/>
                <w:b/>
                <w:sz w:val="28"/>
                <w:szCs w:val="28"/>
                <w:u w:val="single"/>
              </w:rPr>
              <w:lastRenderedPageBreak/>
              <w:t>Đề xuất giữ nguyên như dự thảo</w:t>
            </w:r>
            <w:r>
              <w:rPr>
                <w:rFonts w:ascii="Times New Roman" w:eastAsia="Times New Roman" w:hAnsi="Times New Roman" w:cs="Times New Roman"/>
                <w:sz w:val="28"/>
                <w:szCs w:val="28"/>
              </w:rPr>
              <w:t xml:space="preserve"> Lý do: Hình thức đăng tải để công khai danh sách </w:t>
            </w:r>
            <w:r>
              <w:rPr>
                <w:rFonts w:ascii="Times New Roman" w:hAnsi="Times New Roman" w:cs="Times New Roman"/>
                <w:iCs/>
                <w:color w:val="000000"/>
                <w:sz w:val="28"/>
                <w:szCs w:val="28"/>
              </w:rPr>
              <w:t xml:space="preserve">cá nhân, tập thể, hộ gia đình trên Báo tùy thuộc vào nghiệp vụ của cơ quan chức năng. </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tcPr>
          <w:p>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Sở Văn hóa, Thể thao và Du lịch</w:t>
            </w:r>
            <w:r>
              <w:rPr>
                <w:rFonts w:ascii="Times New Roman" w:eastAsia="Times New Roman" w:hAnsi="Times New Roman" w:cs="Times New Roman"/>
                <w:sz w:val="28"/>
                <w:szCs w:val="28"/>
              </w:rPr>
              <w:t xml:space="preserve"> (Công văn số 6162/SVHTTDL-TCCB ngày 27/10/2025)</w:t>
            </w:r>
          </w:p>
        </w:tc>
        <w:tc>
          <w:tcPr>
            <w:tcW w:w="3543" w:type="dxa"/>
          </w:tcPr>
          <w:p>
            <w:pPr>
              <w:pStyle w:val="NormalWeb"/>
              <w:spacing w:before="60" w:beforeAutospacing="0" w:after="60" w:afterAutospacing="0"/>
              <w:jc w:val="both"/>
              <w:rPr>
                <w:rFonts w:ascii="TimesNewRomanPSMT" w:eastAsiaTheme="minorHAnsi" w:hAnsi="TimesNewRomanPSMT" w:cstheme="minorBidi"/>
                <w:color w:val="000000"/>
                <w:sz w:val="28"/>
                <w:szCs w:val="28"/>
              </w:rPr>
            </w:pPr>
            <w:r>
              <w:rPr>
                <w:rFonts w:ascii="TimesNewRomanPS-BoldItalicMT" w:eastAsiaTheme="minorHAnsi" w:hAnsi="TimesNewRomanPS-BoldItalicMT" w:cstheme="minorBidi"/>
                <w:b/>
                <w:bCs/>
                <w:i/>
                <w:iCs/>
                <w:color w:val="000000"/>
                <w:sz w:val="28"/>
                <w:szCs w:val="28"/>
              </w:rPr>
              <w:t>Tại Điều 8 (trang 6), dự thảo Quyết định của UBND tỉnh, quy định về tặng</w:t>
            </w:r>
            <w:r>
              <w:rPr>
                <w:rFonts w:ascii="TimesNewRomanPS-BoldItalicMT" w:eastAsiaTheme="minorHAnsi" w:hAnsi="TimesNewRomanPS-BoldItalicMT" w:cstheme="minorBidi"/>
                <w:b/>
                <w:bCs/>
                <w:i/>
                <w:iCs/>
                <w:color w:val="000000"/>
                <w:sz w:val="28"/>
                <w:szCs w:val="28"/>
              </w:rPr>
              <w:br/>
              <w:t xml:space="preserve">Bằng khen của Chủ tịch Ủy ban nhân dân tỉnh: </w:t>
            </w:r>
            <w:r>
              <w:rPr>
                <w:rFonts w:ascii="TimesNewRomanPSMT" w:eastAsiaTheme="minorHAnsi" w:hAnsi="TimesNewRomanPSMT" w:cstheme="minorBidi"/>
                <w:color w:val="000000"/>
                <w:sz w:val="28"/>
                <w:szCs w:val="28"/>
              </w:rPr>
              <w:t>Tại điều 74 Luật Thi đua khen</w:t>
            </w:r>
            <w:r>
              <w:rPr>
                <w:rFonts w:ascii="TimesNewRomanPSMT" w:eastAsiaTheme="minorHAnsi" w:hAnsi="TimesNewRomanPSMT" w:cstheme="minorBidi"/>
                <w:color w:val="000000"/>
                <w:sz w:val="28"/>
                <w:szCs w:val="28"/>
              </w:rPr>
              <w:br/>
              <w:t>thưởng quy định về tặng bằng khen của Bộ, ban, ngành, tỉnh; tuy</w:t>
            </w:r>
            <w:bookmarkStart w:id="0" w:name="_GoBack"/>
            <w:bookmarkEnd w:id="0"/>
            <w:r>
              <w:rPr>
                <w:rFonts w:ascii="TimesNewRomanPSMT" w:eastAsiaTheme="minorHAnsi" w:hAnsi="TimesNewRomanPSMT" w:cstheme="minorBidi"/>
                <w:color w:val="000000"/>
                <w:sz w:val="28"/>
                <w:szCs w:val="28"/>
              </w:rPr>
              <w:t xml:space="preserve"> nhiên Luật chưa quy định chi tiết, cụ thể; và tại khoản 6, Điều 74, Luật cũng đã giao các </w:t>
            </w:r>
            <w:r>
              <w:rPr>
                <w:rFonts w:ascii="TimesNewRomanPS-ItalicMT" w:eastAsiaTheme="minorHAnsi" w:hAnsi="TimesNewRomanPS-ItalicMT" w:cstheme="minorBidi"/>
                <w:i/>
                <w:iCs/>
                <w:color w:val="000000"/>
                <w:sz w:val="28"/>
                <w:szCs w:val="28"/>
              </w:rPr>
              <w:t>"Bộ, ban, ngành, tỉnh trong phạm vi, nhiệm vụ, quyền hạn của mình quy định chi tiết, hướng</w:t>
            </w:r>
            <w:r>
              <w:rPr>
                <w:rFonts w:ascii="TimesNewRomanPS-ItalicMT" w:eastAsiaTheme="minorHAnsi" w:hAnsi="TimesNewRomanPS-ItalicMT" w:cstheme="minorBidi"/>
                <w:i/>
                <w:iCs/>
                <w:color w:val="000000"/>
                <w:sz w:val="28"/>
                <w:szCs w:val="28"/>
              </w:rPr>
              <w:br/>
              <w:t>dẫn cụ thể tiêu chuẩn xét tặng bằng khen của Bộ, ban, ngành, tỉnh đối với cá nhân,</w:t>
            </w:r>
            <w:r>
              <w:rPr>
                <w:rFonts w:ascii="TimesNewRomanPS-ItalicMT" w:eastAsiaTheme="minorHAnsi" w:hAnsi="TimesNewRomanPS-ItalicMT" w:cstheme="minorBidi"/>
                <w:i/>
                <w:iCs/>
                <w:color w:val="000000"/>
                <w:sz w:val="28"/>
                <w:szCs w:val="28"/>
              </w:rPr>
              <w:br/>
              <w:t>tập thể, hộ gia đình thuộc thẩm quyền quản lý"</w:t>
            </w:r>
            <w:r>
              <w:rPr>
                <w:rFonts w:ascii="TimesNewRomanPSMT" w:eastAsiaTheme="minorHAnsi" w:hAnsi="TimesNewRomanPSMT" w:cstheme="minorBidi"/>
                <w:color w:val="000000"/>
                <w:sz w:val="28"/>
                <w:szCs w:val="28"/>
              </w:rPr>
              <w:t xml:space="preserve">. Mặt khác, quá trình triển khai thực hiện Luật, Ban Thi đua khen thưởng Trung ương cũng đã có văn bản số 419/BTĐKTP.I ngày 23/4/2024 trao đổi một số nội </w:t>
            </w:r>
            <w:r>
              <w:rPr>
                <w:rFonts w:ascii="TimesNewRomanPSMT" w:eastAsiaTheme="minorHAnsi" w:hAnsi="TimesNewRomanPSMT" w:cstheme="minorBidi"/>
                <w:color w:val="000000"/>
                <w:sz w:val="28"/>
                <w:szCs w:val="28"/>
              </w:rPr>
              <w:lastRenderedPageBreak/>
              <w:t>dung về nghiệp vụ thi đua, khen thưởng, trong đó có giải đáp một số về vấn đề về tặng bằng khen của Chủ tịch UBND tỉnh.</w:t>
            </w:r>
          </w:p>
          <w:p>
            <w:pPr>
              <w:pStyle w:val="NormalWeb"/>
              <w:spacing w:before="60" w:beforeAutospacing="0" w:after="60" w:afterAutospacing="0"/>
              <w:jc w:val="both"/>
              <w:rPr>
                <w:rStyle w:val="fontstyle01"/>
                <w:rFonts w:ascii="TimesNewRomanPSMT" w:eastAsiaTheme="minorHAnsi" w:hAnsi="TimesNewRomanPSMT" w:cstheme="minorBidi"/>
                <w:b w:val="0"/>
                <w:bCs w:val="0"/>
              </w:rPr>
            </w:pPr>
            <w:r>
              <w:rPr>
                <w:rFonts w:ascii="TimesNewRomanPSMT" w:eastAsiaTheme="minorHAnsi" w:hAnsi="TimesNewRomanPSMT" w:cstheme="minorBidi"/>
                <w:color w:val="000000"/>
                <w:sz w:val="28"/>
                <w:szCs w:val="28"/>
              </w:rPr>
              <w:t>Vì vậy, để thuận lợi trong quá trình thực hiện các quy định về thi đua khen</w:t>
            </w:r>
            <w:r>
              <w:rPr>
                <w:rFonts w:ascii="TimesNewRomanPSMT" w:eastAsiaTheme="minorHAnsi" w:hAnsi="TimesNewRomanPSMT" w:cstheme="minorBidi"/>
                <w:color w:val="000000"/>
                <w:sz w:val="28"/>
                <w:szCs w:val="28"/>
              </w:rPr>
              <w:br/>
              <w:t>thưởng, đề nghị Sở Nội vụ tham mưu, bổ sung quy định chi tiết, cụ thể tiêu chuẩn</w:t>
            </w:r>
            <w:r>
              <w:rPr>
                <w:rFonts w:ascii="TimesNewRomanPSMT" w:eastAsiaTheme="minorHAnsi" w:hAnsi="TimesNewRomanPSMT" w:cstheme="minorBidi"/>
                <w:color w:val="000000"/>
                <w:sz w:val="28"/>
                <w:szCs w:val="28"/>
              </w:rPr>
              <w:br/>
              <w:t>xét tặng Bằng khen của Chủ tịch UBND tỉnh.</w:t>
            </w:r>
          </w:p>
        </w:tc>
        <w:tc>
          <w:tcPr>
            <w:tcW w:w="5011" w:type="dxa"/>
          </w:tcPr>
          <w:p>
            <w:pPr>
              <w:spacing w:before="60" w:after="6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Đề xuất giữ nguyên như dự thảo</w:t>
            </w:r>
            <w:r>
              <w:rPr>
                <w:rFonts w:ascii="Times New Roman" w:eastAsia="Times New Roman" w:hAnsi="Times New Roman" w:cs="Times New Roman"/>
                <w:sz w:val="28"/>
                <w:szCs w:val="28"/>
              </w:rPr>
              <w:t xml:space="preserve"> Lý do:</w:t>
            </w:r>
          </w:p>
          <w:p>
            <w:pPr>
              <w:spacing w:before="60" w:after="60"/>
              <w:jc w:val="both"/>
              <w:rPr>
                <w:rFonts w:ascii="TimesNewRomanPSMT" w:hAnsi="TimesNewRomanPSMT"/>
                <w:color w:val="000000"/>
                <w:sz w:val="28"/>
                <w:szCs w:val="28"/>
              </w:rPr>
            </w:pPr>
            <w:r>
              <w:rPr>
                <w:rFonts w:ascii="TimesNewRomanPSMT" w:hAnsi="TimesNewRomanPSMT"/>
                <w:color w:val="000000"/>
                <w:sz w:val="28"/>
                <w:szCs w:val="28"/>
              </w:rPr>
              <w:t>Căn cứ Điều 74 Luật Thi đua, khen</w:t>
            </w:r>
            <w:r>
              <w:rPr>
                <w:rFonts w:ascii="TimesNewRomanPSMT" w:hAnsi="TimesNewRomanPSMT"/>
                <w:color w:val="000000"/>
                <w:sz w:val="28"/>
                <w:szCs w:val="28"/>
              </w:rPr>
              <w:br/>
              <w:t>thưởng, dự thảo đã quy định chi tiết, cụ thể tiêu chuẩn xét tặng Bằng khen của Chủ tịch UBND tỉnh đối với cá nhân, tập thể, hộ gia đình thuộc thẩm quyền quản lý của tỉnh.</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tcPr>
          <w:p>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Ban Tổ chức Tỉnh ủy</w:t>
            </w:r>
            <w:r>
              <w:rPr>
                <w:rFonts w:ascii="Times New Roman" w:eastAsia="Times New Roman" w:hAnsi="Times New Roman" w:cs="Times New Roman"/>
                <w:sz w:val="28"/>
                <w:szCs w:val="28"/>
              </w:rPr>
              <w:t xml:space="preserve"> (Công văn số 13-CV/BTCTU ngày 23/10/2025)</w:t>
            </w:r>
          </w:p>
        </w:tc>
        <w:tc>
          <w:tcPr>
            <w:tcW w:w="3543" w:type="dxa"/>
          </w:tcPr>
          <w:p>
            <w:pPr>
              <w:spacing w:before="60" w:after="60"/>
              <w:jc w:val="both"/>
              <w:rPr>
                <w:rStyle w:val="fontstyle01"/>
                <w:b w:val="0"/>
              </w:rPr>
            </w:pPr>
            <w:r>
              <w:rPr>
                <w:rStyle w:val="fontstyle01"/>
                <w:b w:val="0"/>
              </w:rPr>
              <w:t>Tại điểm b khoản 2 Điều 17 của dự thảo nên bổ sung thành viên Hội đồng Thi đua – Khen thưởng tỉnh là  đại diện một số cơ quan Đảng của tỉnh</w:t>
            </w:r>
          </w:p>
        </w:tc>
        <w:tc>
          <w:tcPr>
            <w:tcW w:w="5011" w:type="dxa"/>
          </w:tcPr>
          <w:p>
            <w:pPr>
              <w:spacing w:before="60" w:after="6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Đề xuất giữ nguyên như dự thảo</w:t>
            </w:r>
            <w:r>
              <w:rPr>
                <w:rFonts w:ascii="Times New Roman" w:eastAsia="Times New Roman" w:hAnsi="Times New Roman" w:cs="Times New Roman"/>
                <w:sz w:val="28"/>
                <w:szCs w:val="28"/>
              </w:rPr>
              <w:t xml:space="preserve"> Lý do:</w:t>
            </w:r>
          </w:p>
          <w:p>
            <w:pPr>
              <w:spacing w:before="60" w:after="60"/>
              <w:jc w:val="both"/>
              <w:rPr>
                <w:rStyle w:val="fontstyle01"/>
                <w:b w:val="0"/>
              </w:rPr>
            </w:pPr>
            <w:r>
              <w:rPr>
                <w:rStyle w:val="fontstyle01"/>
                <w:b w:val="0"/>
              </w:rPr>
              <w:t>Tại điểm b khoản 2 Điều 17 của dự thảo quy định về các phó Chủ tịch Hội đồng Thi đua – Khen thưởng tỉnh</w:t>
            </w:r>
          </w:p>
          <w:p>
            <w:pPr>
              <w:spacing w:before="60" w:after="60"/>
              <w:jc w:val="both"/>
              <w:rPr>
                <w:rFonts w:ascii="Times New Roman" w:eastAsia="Times New Roman" w:hAnsi="Times New Roman" w:cs="Times New Roman"/>
                <w:b/>
                <w:sz w:val="28"/>
                <w:szCs w:val="28"/>
                <w:u w:val="single"/>
              </w:rPr>
            </w:pPr>
            <w:r>
              <w:rPr>
                <w:rStyle w:val="fontstyle01"/>
                <w:b w:val="0"/>
              </w:rPr>
              <w:t xml:space="preserve">Còn các thành viên Hội đồng quy định tại điểm c khoản 2 Điều 17 của dự thảo: Chủ tịch Hội đồng Thi đua - Khen thưởng tỉnh quyết định cơ cấu, thành phần các thành viên Hội đồng. </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tcPr>
          <w:p>
            <w:pPr>
              <w:pStyle w:val="BodyText"/>
              <w:spacing w:before="60" w:after="60"/>
              <w:rPr>
                <w:rFonts w:ascii="Times New Roman" w:hAnsi="Times New Roman"/>
                <w:szCs w:val="28"/>
              </w:rPr>
            </w:pPr>
            <w:r>
              <w:rPr>
                <w:rFonts w:ascii="Times New Roman" w:hAnsi="Times New Roman"/>
                <w:b/>
                <w:szCs w:val="28"/>
              </w:rPr>
              <w:t>Ủy ban nhân dân phường Quảng Phú</w:t>
            </w:r>
            <w:r>
              <w:rPr>
                <w:rFonts w:ascii="Times New Roman" w:hAnsi="Times New Roman"/>
                <w:szCs w:val="28"/>
              </w:rPr>
              <w:t xml:space="preserve"> (Công văn số 1546/UBND-VHXH </w:t>
            </w:r>
            <w:r>
              <w:rPr>
                <w:rFonts w:ascii="Times New Roman" w:hAnsi="Times New Roman"/>
                <w:szCs w:val="28"/>
              </w:rPr>
              <w:lastRenderedPageBreak/>
              <w:t>ngày 26/10/2025); Ủy ban nhân dân xã Đồng Lương (Công văn số 602/UBND-VHXH ngày 27/10/2025)</w:t>
            </w:r>
          </w:p>
        </w:tc>
        <w:tc>
          <w:tcPr>
            <w:tcW w:w="3543" w:type="dxa"/>
          </w:tcPr>
          <w:p>
            <w:pPr>
              <w:pStyle w:val="BodyText"/>
              <w:spacing w:before="60" w:after="60"/>
              <w:rPr>
                <w:rStyle w:val="fontstyle01"/>
                <w:rFonts w:ascii="TimesNewRomanPSMT" w:eastAsiaTheme="minorHAnsi" w:hAnsi="TimesNewRomanPSMT" w:cstheme="minorBidi"/>
                <w:b w:val="0"/>
                <w:bCs w:val="0"/>
              </w:rPr>
            </w:pPr>
            <w:r>
              <w:rPr>
                <w:rFonts w:ascii="TimesNewRomanPSMT" w:eastAsiaTheme="minorHAnsi" w:hAnsi="TimesNewRomanPSMT" w:cstheme="minorBidi"/>
                <w:color w:val="000000"/>
                <w:szCs w:val="28"/>
              </w:rPr>
              <w:lastRenderedPageBreak/>
              <w:t xml:space="preserve">Tại khoản 2, Điều 12 về thời gian nhận hồ sơ: Đối với khối giáo dục - đào tao, nên điều chỉnh mốc thời gian phù </w:t>
            </w:r>
            <w:r>
              <w:rPr>
                <w:rFonts w:ascii="TimesNewRomanPSMT" w:eastAsiaTheme="minorHAnsi" w:hAnsi="TimesNewRomanPSMT" w:cstheme="minorBidi"/>
                <w:color w:val="000000"/>
                <w:szCs w:val="28"/>
              </w:rPr>
              <w:lastRenderedPageBreak/>
              <w:t>hợp với năm học (tháng 9 năm trước đến tháng 8 năm sau), bảo đảm thuận tiện trong việc xét khen thưởng theo chu kỳ hoạt động đặc thù của ngành.</w:t>
            </w:r>
          </w:p>
        </w:tc>
        <w:tc>
          <w:tcPr>
            <w:tcW w:w="5011" w:type="dxa"/>
          </w:tcPr>
          <w:p>
            <w:pPr>
              <w:spacing w:before="60" w:after="6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Đề xuất giữ nguyên như dự thảo</w:t>
            </w:r>
            <w:r>
              <w:rPr>
                <w:rFonts w:ascii="Times New Roman" w:eastAsia="Times New Roman" w:hAnsi="Times New Roman" w:cs="Times New Roman"/>
                <w:sz w:val="28"/>
                <w:szCs w:val="28"/>
              </w:rPr>
              <w:t xml:space="preserve"> Lý do:</w:t>
            </w:r>
          </w:p>
          <w:p>
            <w:pPr>
              <w:spacing w:before="60" w:after="60"/>
              <w:jc w:val="both"/>
              <w:rPr>
                <w:rFonts w:ascii="Times New Roman" w:eastAsia="Times New Roman" w:hAnsi="Times New Roman" w:cs="Times New Roman"/>
                <w:b/>
                <w:sz w:val="28"/>
                <w:szCs w:val="28"/>
                <w:u w:val="single"/>
              </w:rPr>
            </w:pPr>
            <w:r>
              <w:rPr>
                <w:rStyle w:val="fontstyle01"/>
                <w:b w:val="0"/>
              </w:rPr>
              <w:t xml:space="preserve">Dự thảo đã quy định phù hợp với đặc thù của ngành giáo dục (tổng kết theo năm học) nên đã tách riêng ra một đợt khen </w:t>
            </w:r>
            <w:r>
              <w:rPr>
                <w:rStyle w:val="fontstyle01"/>
                <w:b w:val="0"/>
              </w:rPr>
              <w:lastRenderedPageBreak/>
              <w:t>thưởng riêng cho ngành giáo dục. Tại khoản 2, Điều 12 dự thảo quy định: “Hồ sơ đề nghị khen thưởng công trạng gửi về Ủy ban nhân dân tỉnh (qua Sở Nội vụ) trước ngày 15 tháng 3 hằng năm; đối với hệ thống giáo dục đào tạo trước ngày 20 tháng 7 hằng năm”.</w:t>
            </w:r>
            <w:r>
              <w:rPr>
                <w:rFonts w:eastAsia="Times New Roman"/>
                <w:color w:val="000000"/>
                <w:szCs w:val="28"/>
              </w:rPr>
              <w:t> </w:t>
            </w:r>
          </w:p>
        </w:tc>
      </w:tr>
      <w:tr>
        <w:tc>
          <w:tcPr>
            <w:tcW w:w="746" w:type="dxa"/>
            <w:vMerge/>
          </w:tcPr>
          <w:p>
            <w:pPr>
              <w:pStyle w:val="ListParagraph"/>
              <w:numPr>
                <w:ilvl w:val="0"/>
                <w:numId w:val="1"/>
              </w:numPr>
              <w:spacing w:before="60" w:after="60"/>
              <w:rPr>
                <w:rStyle w:val="fontstyle01"/>
                <w:b w:val="0"/>
              </w:rPr>
            </w:pPr>
          </w:p>
        </w:tc>
        <w:tc>
          <w:tcPr>
            <w:tcW w:w="1900" w:type="dxa"/>
            <w:vMerge/>
          </w:tcPr>
          <w:p>
            <w:pPr>
              <w:spacing w:before="60" w:after="60"/>
              <w:rPr>
                <w:rStyle w:val="fontstyle01"/>
                <w:b w:val="0"/>
              </w:rPr>
            </w:pPr>
          </w:p>
        </w:tc>
        <w:tc>
          <w:tcPr>
            <w:tcW w:w="3021" w:type="dxa"/>
            <w:vMerge w:val="restart"/>
          </w:tcPr>
          <w:p>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Ủy ban nhân dân xã Hoằng Tiến</w:t>
            </w:r>
            <w:r>
              <w:rPr>
                <w:rFonts w:ascii="Times New Roman" w:eastAsia="Times New Roman" w:hAnsi="Times New Roman" w:cs="Times New Roman"/>
                <w:bCs/>
                <w:sz w:val="28"/>
                <w:szCs w:val="28"/>
              </w:rPr>
              <w:t xml:space="preserve"> (Công văn số 957/UBND-VHXH ngày 22/10/2025)</w:t>
            </w:r>
          </w:p>
        </w:tc>
        <w:tc>
          <w:tcPr>
            <w:tcW w:w="3543" w:type="dxa"/>
          </w:tcPr>
          <w:p>
            <w:pPr>
              <w:shd w:val="clear" w:color="auto" w:fill="FFFFFF"/>
              <w:spacing w:before="60" w:after="60"/>
              <w:jc w:val="both"/>
              <w:rPr>
                <w:rFonts w:eastAsia="Times New Roman"/>
                <w:szCs w:val="28"/>
              </w:rPr>
            </w:pPr>
            <w:r>
              <w:rPr>
                <w:rFonts w:ascii="TimesNewRomanPSMT" w:hAnsi="TimesNewRomanPSMT"/>
                <w:color w:val="000000"/>
                <w:sz w:val="28"/>
                <w:szCs w:val="28"/>
              </w:rPr>
              <w:t>1. Đề nghị Sở Nội vụ nghiên cứu đơn giản hóa thành phần hồ sơ, đẩy mạnh tiếp</w:t>
            </w:r>
            <w:r>
              <w:rPr>
                <w:rFonts w:ascii="TimesNewRomanPSMT" w:hAnsi="TimesNewRomanPSMT"/>
                <w:color w:val="000000"/>
                <w:sz w:val="28"/>
                <w:szCs w:val="28"/>
              </w:rPr>
              <w:br/>
              <w:t>nhận hồ sơ điện tử qua phần mềm “Quản lý văn bản và hồ sơ công việc” của tỉnh,</w:t>
            </w:r>
            <w:r>
              <w:rPr>
                <w:rFonts w:ascii="TimesNewRomanPSMT" w:hAnsi="TimesNewRomanPSMT"/>
                <w:color w:val="000000"/>
                <w:sz w:val="28"/>
                <w:szCs w:val="28"/>
              </w:rPr>
              <w:br/>
              <w:t>nhằm giảm thời gian xử lý.</w:t>
            </w:r>
          </w:p>
        </w:tc>
        <w:tc>
          <w:tcPr>
            <w:tcW w:w="5011" w:type="dxa"/>
          </w:tcPr>
          <w:p>
            <w:pPr>
              <w:spacing w:before="60" w:after="6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Đề xuất giữ nguyên như dự thảo</w:t>
            </w:r>
            <w:r>
              <w:rPr>
                <w:rFonts w:ascii="Times New Roman" w:eastAsia="Times New Roman" w:hAnsi="Times New Roman" w:cs="Times New Roman"/>
                <w:sz w:val="28"/>
                <w:szCs w:val="28"/>
              </w:rPr>
              <w:t xml:space="preserve"> Lý do:</w:t>
            </w:r>
          </w:p>
          <w:p>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phần hồ sơ thực hiện theo quy định tại Điều 84 Luật thi đua, khen thưởng. Dự thảo không thêm thành phần hồ sơ.</w:t>
            </w:r>
          </w:p>
          <w:p>
            <w:pPr>
              <w:spacing w:before="60" w:after="60"/>
              <w:jc w:val="both"/>
              <w:rPr>
                <w:rFonts w:ascii="Times New Roman" w:eastAsia="Times New Roman" w:hAnsi="Times New Roman" w:cs="Times New Roman"/>
                <w:sz w:val="28"/>
                <w:szCs w:val="28"/>
              </w:rPr>
            </w:pPr>
            <w:r>
              <w:rPr>
                <w:rFonts w:ascii="TimesNewRomanPSMT" w:hAnsi="TimesNewRomanPSMT"/>
                <w:color w:val="000000"/>
                <w:sz w:val="28"/>
                <w:szCs w:val="28"/>
              </w:rPr>
              <w:t xml:space="preserve">Về việc tiếp nhận hồ sơ điện tử qua phần mềm “Quản lý văn bản và hồ sơ công việc” của tỉnh đã được quy định tại khoản 5 Điều 10 dự thảo. Sở Nội vụ nhận 01 </w:t>
            </w:r>
            <w:r>
              <w:rPr>
                <w:rFonts w:ascii="Times New Roman" w:eastAsia="Times New Roman" w:hAnsi="Times New Roman" w:cs="Times New Roman"/>
                <w:sz w:val="28"/>
                <w:szCs w:val="28"/>
              </w:rPr>
              <w:t>bản giấy (bản chính) của hồ sơ vì thực tế trong những năm qua, hồ sơ nộp điện tử không đầy đủ thành phần hồ sơ, thường thiếu các căn cứ chứng minh thành tích. Do vậy để đảm bảo hồ sơ các đơn vị thường bổ sung bản giấy và Sở Nội vụ phải lưu trữ đầy đủ hồ sơ giấy để phục vụ công tác thanh tra, kiểm tra sau này.</w:t>
            </w:r>
          </w:p>
        </w:tc>
      </w:tr>
      <w:tr>
        <w:trPr>
          <w:trHeight w:val="4044"/>
        </w:trPr>
        <w:tc>
          <w:tcPr>
            <w:tcW w:w="746" w:type="dxa"/>
            <w:vMerge/>
            <w:tcBorders>
              <w:bottom w:val="single" w:sz="4" w:space="0" w:color="auto"/>
            </w:tcBorders>
          </w:tcPr>
          <w:p>
            <w:pPr>
              <w:pStyle w:val="ListParagraph"/>
              <w:numPr>
                <w:ilvl w:val="0"/>
                <w:numId w:val="1"/>
              </w:numPr>
              <w:spacing w:before="60" w:after="60"/>
              <w:rPr>
                <w:rStyle w:val="fontstyle01"/>
                <w:b w:val="0"/>
              </w:rPr>
            </w:pPr>
          </w:p>
        </w:tc>
        <w:tc>
          <w:tcPr>
            <w:tcW w:w="1900" w:type="dxa"/>
            <w:vMerge/>
            <w:tcBorders>
              <w:bottom w:val="single" w:sz="4" w:space="0" w:color="auto"/>
            </w:tcBorders>
          </w:tcPr>
          <w:p>
            <w:pPr>
              <w:spacing w:before="60" w:after="60"/>
              <w:rPr>
                <w:rStyle w:val="fontstyle01"/>
                <w:b w:val="0"/>
              </w:rPr>
            </w:pPr>
          </w:p>
        </w:tc>
        <w:tc>
          <w:tcPr>
            <w:tcW w:w="3021" w:type="dxa"/>
            <w:vMerge/>
            <w:tcBorders>
              <w:bottom w:val="single" w:sz="4" w:space="0" w:color="auto"/>
            </w:tcBorders>
          </w:tcPr>
          <w:p>
            <w:pPr>
              <w:spacing w:before="60" w:after="60"/>
              <w:jc w:val="both"/>
              <w:rPr>
                <w:rFonts w:ascii="Times New Roman" w:eastAsia="Times New Roman" w:hAnsi="Times New Roman" w:cs="Times New Roman"/>
                <w:sz w:val="28"/>
                <w:szCs w:val="28"/>
              </w:rPr>
            </w:pPr>
          </w:p>
        </w:tc>
        <w:tc>
          <w:tcPr>
            <w:tcW w:w="3543" w:type="dxa"/>
            <w:tcBorders>
              <w:bottom w:val="single" w:sz="4" w:space="0" w:color="auto"/>
            </w:tcBorders>
          </w:tcPr>
          <w:p>
            <w:pPr>
              <w:spacing w:before="60" w:after="60"/>
              <w:jc w:val="both"/>
              <w:rPr>
                <w:rFonts w:ascii="Times New Roman" w:eastAsia="Times New Roman" w:hAnsi="Times New Roman" w:cs="Times New Roman"/>
                <w:sz w:val="28"/>
                <w:szCs w:val="28"/>
              </w:rPr>
            </w:pPr>
            <w:r>
              <w:rPr>
                <w:rFonts w:ascii="TimesNewRomanPSMT" w:hAnsi="TimesNewRomanPSMT"/>
                <w:color w:val="000000"/>
                <w:sz w:val="28"/>
                <w:szCs w:val="28"/>
              </w:rPr>
              <w:t>2. Kiến nghị quy định cụ thể thời gian trả lời, phản hồi của các cơ quan được xin ý</w:t>
            </w:r>
            <w:r>
              <w:rPr>
                <w:rFonts w:ascii="TimesNewRomanPSMT" w:hAnsi="TimesNewRomanPSMT"/>
                <w:color w:val="000000"/>
                <w:sz w:val="28"/>
                <w:szCs w:val="28"/>
              </w:rPr>
              <w:br/>
              <w:t>kiến, tránh kéo dài ảnh hưởng đến tiến độ xét khen thưởng</w:t>
            </w:r>
          </w:p>
        </w:tc>
        <w:tc>
          <w:tcPr>
            <w:tcW w:w="5011" w:type="dxa"/>
            <w:tcBorders>
              <w:bottom w:val="single" w:sz="4" w:space="0" w:color="auto"/>
            </w:tcBorders>
          </w:tcPr>
          <w:p>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Đề xuất giữ nguyên như dự thảo</w:t>
            </w:r>
            <w:r>
              <w:rPr>
                <w:rFonts w:ascii="Times New Roman" w:eastAsia="Times New Roman" w:hAnsi="Times New Roman" w:cs="Times New Roman"/>
                <w:sz w:val="28"/>
                <w:szCs w:val="28"/>
              </w:rPr>
              <w:t xml:space="preserve"> Lý do:</w:t>
            </w:r>
          </w:p>
          <w:p>
            <w:pPr>
              <w:spacing w:before="60" w:after="60"/>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Tại khoản 4 Điều 11 dự thảo đã quy định cụ thể nội dung này như sau: Khi nhận được văn bản xin ý kiến của cơ quan, đơn vị, địa phương hoặc Sở Nội vụ, trong thời hạn 7 ngày làm việc kể từ ngày nhận được văn bản đề nghị (trừ trường hợp có thời hạn theo văn bản chỉ đạo của cơ quan cấp trên), cơ quan, đơn vị, địa phương được xin ý kiến có trách nhiệm trả lời bằng văn bản và chịu trách nhiệm trước pháp luật về thời gian trả lời, nội dung được lấy ý kiến.  </w:t>
            </w:r>
          </w:p>
        </w:tc>
      </w:tr>
      <w:tr>
        <w:trPr>
          <w:trHeight w:val="8169"/>
        </w:trPr>
        <w:tc>
          <w:tcPr>
            <w:tcW w:w="746" w:type="dxa"/>
          </w:tcPr>
          <w:p>
            <w:pPr>
              <w:pStyle w:val="ListParagraph"/>
              <w:numPr>
                <w:ilvl w:val="0"/>
                <w:numId w:val="1"/>
              </w:numPr>
              <w:spacing w:before="60" w:after="60"/>
              <w:rPr>
                <w:rStyle w:val="fontstyle01"/>
                <w:b w:val="0"/>
              </w:rPr>
            </w:pPr>
          </w:p>
        </w:tc>
        <w:tc>
          <w:tcPr>
            <w:tcW w:w="1900" w:type="dxa"/>
          </w:tcPr>
          <w:p>
            <w:pPr>
              <w:spacing w:before="60" w:after="60"/>
              <w:jc w:val="both"/>
              <w:rPr>
                <w:rStyle w:val="fontstyle01"/>
                <w:b w:val="0"/>
              </w:rPr>
            </w:pPr>
            <w:r>
              <w:rPr>
                <w:rFonts w:ascii="Times New Roman" w:eastAsia="Times New Roman" w:hAnsi="Times New Roman" w:cs="Times New Roman"/>
                <w:b/>
                <w:bCs/>
                <w:color w:val="000000"/>
                <w:sz w:val="28"/>
                <w:szCs w:val="28"/>
              </w:rPr>
              <w:t>Về tổ chức cụm, khối thi đua; Hội đồng Thi đua - Khen thưởng và các nội dung khác</w:t>
            </w:r>
          </w:p>
        </w:tc>
        <w:tc>
          <w:tcPr>
            <w:tcW w:w="3021" w:type="dxa"/>
          </w:tcPr>
          <w:p>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Ủy ban nhân dân xã Vĩnh Lộc</w:t>
            </w:r>
            <w:r>
              <w:rPr>
                <w:rFonts w:ascii="Times New Roman" w:eastAsia="Times New Roman" w:hAnsi="Times New Roman" w:cs="Times New Roman"/>
                <w:sz w:val="28"/>
                <w:szCs w:val="28"/>
              </w:rPr>
              <w:t xml:space="preserve"> (Công văn số 1040/UBND-VHXH ngày 24/10/2025)</w:t>
            </w:r>
          </w:p>
        </w:tc>
        <w:tc>
          <w:tcPr>
            <w:tcW w:w="3543" w:type="dxa"/>
          </w:tcPr>
          <w:p>
            <w:pPr>
              <w:pStyle w:val="NormalWeb"/>
              <w:spacing w:before="60" w:beforeAutospacing="0" w:after="60" w:afterAutospacing="0"/>
              <w:jc w:val="both"/>
              <w:rPr>
                <w:rStyle w:val="fontstyle01"/>
                <w:rFonts w:ascii="TimesNewRomanPSMT" w:eastAsiaTheme="minorHAnsi" w:hAnsi="TimesNewRomanPSMT" w:cstheme="minorBidi"/>
                <w:b w:val="0"/>
                <w:bCs w:val="0"/>
              </w:rPr>
            </w:pPr>
            <w:r>
              <w:rPr>
                <w:rFonts w:ascii="TimesNewRomanPSMT" w:eastAsiaTheme="minorHAnsi" w:hAnsi="TimesNewRomanPSMT" w:cstheme="minorBidi"/>
                <w:color w:val="000000"/>
                <w:sz w:val="28"/>
                <w:szCs w:val="28"/>
              </w:rPr>
              <w:t xml:space="preserve">Đề nghị Sở Nội vụ nghiên cứu và làm rõ thêm: Về việc tổ chức hoạt động thi đua khối trường học (các trường MN, TH, THCS) trực thuộc xã. Vì sau khi thực hiện chính quyền 02 cấp các trường học ở mỗi cấp học ở xã chỉ còn 06 trường MN, 06 trường TH và 07 trường THCS, TH&amp;THCS </w:t>
            </w:r>
            <w:r>
              <w:rPr>
                <w:rFonts w:ascii="TimesNewRomanPS-ItalicMT" w:eastAsiaTheme="minorHAnsi" w:hAnsi="TimesNewRomanPS-ItalicMT" w:cstheme="minorBidi"/>
                <w:i/>
                <w:iCs/>
                <w:color w:val="000000"/>
                <w:sz w:val="28"/>
                <w:szCs w:val="28"/>
              </w:rPr>
              <w:t>(theo quy định Quyết định số 68/2024/QĐ-UBND ngày 29/10/2024 của Ủy ban nhân dân tỉnh là mỗi cụm thi đua có ít nhất 10 đơn vị)</w:t>
            </w:r>
            <w:r>
              <w:rPr>
                <w:rFonts w:ascii="TimesNewRomanPSMT" w:eastAsiaTheme="minorHAnsi" w:hAnsi="TimesNewRomanPSMT" w:cstheme="minorBidi"/>
                <w:color w:val="000000"/>
                <w:sz w:val="28"/>
                <w:szCs w:val="28"/>
              </w:rPr>
              <w:t>. Tuy nhiên, trong Dự thảo Quyết định ban hành Quy định về công tác thi đua, khen thưởng trên địa bàn tỉnh Thanh Hoá (thay thế Quyết định số 68/2024/QĐ-UBND ngày 29/10/2024 của Ủy ban</w:t>
            </w:r>
            <w:r>
              <w:rPr>
                <w:rFonts w:ascii="TimesNewRomanPSMT" w:eastAsiaTheme="minorHAnsi" w:hAnsi="TimesNewRomanPSMT" w:cstheme="minorBidi"/>
                <w:color w:val="000000"/>
                <w:sz w:val="28"/>
                <w:szCs w:val="28"/>
              </w:rPr>
              <w:br/>
              <w:t>nhân dân tỉnh) chưa nói rõ về nội dung này.</w:t>
            </w:r>
          </w:p>
        </w:tc>
        <w:tc>
          <w:tcPr>
            <w:tcW w:w="5011" w:type="dxa"/>
          </w:tcPr>
          <w:p>
            <w:pPr>
              <w:spacing w:before="60" w:after="6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Đề xuất giữ nguyên như dự thảo</w:t>
            </w:r>
            <w:r>
              <w:rPr>
                <w:rFonts w:ascii="Times New Roman" w:eastAsia="Times New Roman" w:hAnsi="Times New Roman" w:cs="Times New Roman"/>
                <w:sz w:val="28"/>
                <w:szCs w:val="28"/>
              </w:rPr>
              <w:t xml:space="preserve"> Lý do: Tại khoản 1 Điều 19 dự thảo quy định: “Cụm, khối thi đua của tỉnh do Hội đồng Thi đua - Khen thưởng cấp tỉnh tổ chức thành lập, hướng dẫn và chỉ đạo hoạt động”. Do đó Sở Nội vụ thực hiện chức năng nhiệm vụ là cơ quan Thường trực Hội đồng Thi đua - Khen thưởng tỉnh sẽ tham mưu ban hành Quyết định tổ chức Cụm, khối thi đua trong tỉnh trong đó có </w:t>
            </w:r>
            <w:r>
              <w:rPr>
                <w:rFonts w:ascii="TimesNewRomanPSMT" w:hAnsi="TimesNewRomanPSMT"/>
                <w:color w:val="000000"/>
                <w:sz w:val="28"/>
                <w:szCs w:val="28"/>
              </w:rPr>
              <w:t>các trường MN, TH, THCS.</w:t>
            </w:r>
          </w:p>
        </w:tc>
      </w:tr>
    </w:tbl>
    <w:p/>
    <w:sectPr>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070201"/>
      <w:docPartObj>
        <w:docPartGallery w:val="Page Numbers (Top of Page)"/>
        <w:docPartUnique/>
      </w:docPartObj>
    </w:sdtPr>
    <w:sdtEndPr>
      <w:rPr>
        <w:rFonts w:ascii="Times New Roman" w:hAnsi="Times New Roman" w:cs="Times New Roman"/>
        <w:noProof/>
        <w:sz w:val="26"/>
        <w:szCs w:val="26"/>
      </w:rPr>
    </w:sdtEndPr>
    <w:sdtContent>
      <w:p>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noProof/>
            <w:sz w:val="26"/>
            <w:szCs w:val="26"/>
          </w:rPr>
          <w:t>15</w:t>
        </w:r>
        <w:r>
          <w:rPr>
            <w:rFonts w:ascii="Times New Roman" w:hAnsi="Times New Roman" w:cs="Times New Roman"/>
            <w:noProof/>
            <w:sz w:val="26"/>
            <w:szCs w:val="26"/>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C6252"/>
    <w:multiLevelType w:val="hybridMultilevel"/>
    <w:tmpl w:val="54B05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NormalWebChar">
    <w:name w:val="Normal (Web) Char"/>
    <w:link w:val="NormalWeb"/>
    <w:locked/>
    <w:rPr>
      <w:rFonts w:ascii="Times New Roman" w:eastAsia="Times New Roman" w:hAnsi="Times New Roman" w:cs="Times New Roman"/>
      <w:sz w:val="24"/>
      <w:szCs w:val="24"/>
    </w:rPr>
  </w:style>
  <w:style w:type="paragraph" w:styleId="BodyText">
    <w:name w:val="Body Text"/>
    <w:basedOn w:val="Normal"/>
    <w:link w:val="BodyTextChar"/>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Pr>
      <w:rFonts w:ascii=".VnTime" w:eastAsia="Times New Roman" w:hAnsi=".VnTime" w:cs="Times New Roman"/>
      <w:sz w:val="28"/>
      <w:szCs w:val="20"/>
    </w:rPr>
  </w:style>
  <w:style w:type="paragraph" w:styleId="BodyTextIndent3">
    <w:name w:val="Body Text Indent 3"/>
    <w:basedOn w:val="Normal"/>
    <w:link w:val="BodyTextIndent3Char"/>
    <w:uiPriority w:val="99"/>
    <w:unhideWhenUsed/>
    <w:pPr>
      <w:spacing w:after="120"/>
      <w:ind w:left="360"/>
    </w:pPr>
    <w:rPr>
      <w:sz w:val="16"/>
      <w:szCs w:val="16"/>
    </w:rPr>
  </w:style>
  <w:style w:type="character" w:customStyle="1" w:styleId="BodyTextIndent3Char">
    <w:name w:val="Body Text Indent 3 Char"/>
    <w:basedOn w:val="DefaultParagraphFont"/>
    <w:link w:val="BodyTextIndent3"/>
    <w:uiPriority w:val="99"/>
    <w:rPr>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Pr>
      <w:rFonts w:ascii="Times New Roman" w:hAnsi="Times New Roman" w:cs="Times New Roman" w:hint="default"/>
      <w:b/>
      <w:bCs/>
      <w:i/>
      <w:iCs/>
      <w:color w:val="000000"/>
      <w:sz w:val="28"/>
      <w:szCs w:val="28"/>
    </w:rPr>
  </w:style>
  <w:style w:type="character" w:customStyle="1" w:styleId="t286pc">
    <w:name w:val="t286pc"/>
    <w:basedOn w:val="DefaultParagraphFont"/>
  </w:style>
  <w:style w:type="character" w:customStyle="1" w:styleId="vkekvd">
    <w:name w:val="vkekvd"/>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NormalWebChar">
    <w:name w:val="Normal (Web) Char"/>
    <w:link w:val="NormalWeb"/>
    <w:locked/>
    <w:rPr>
      <w:rFonts w:ascii="Times New Roman" w:eastAsia="Times New Roman" w:hAnsi="Times New Roman" w:cs="Times New Roman"/>
      <w:sz w:val="24"/>
      <w:szCs w:val="24"/>
    </w:rPr>
  </w:style>
  <w:style w:type="paragraph" w:styleId="BodyText">
    <w:name w:val="Body Text"/>
    <w:basedOn w:val="Normal"/>
    <w:link w:val="BodyTextChar"/>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Pr>
      <w:rFonts w:ascii=".VnTime" w:eastAsia="Times New Roman" w:hAnsi=".VnTime" w:cs="Times New Roman"/>
      <w:sz w:val="28"/>
      <w:szCs w:val="20"/>
    </w:rPr>
  </w:style>
  <w:style w:type="paragraph" w:styleId="BodyTextIndent3">
    <w:name w:val="Body Text Indent 3"/>
    <w:basedOn w:val="Normal"/>
    <w:link w:val="BodyTextIndent3Char"/>
    <w:uiPriority w:val="99"/>
    <w:unhideWhenUsed/>
    <w:pPr>
      <w:spacing w:after="120"/>
      <w:ind w:left="360"/>
    </w:pPr>
    <w:rPr>
      <w:sz w:val="16"/>
      <w:szCs w:val="16"/>
    </w:rPr>
  </w:style>
  <w:style w:type="character" w:customStyle="1" w:styleId="BodyTextIndent3Char">
    <w:name w:val="Body Text Indent 3 Char"/>
    <w:basedOn w:val="DefaultParagraphFont"/>
    <w:link w:val="BodyTextIndent3"/>
    <w:uiPriority w:val="99"/>
    <w:rPr>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Pr>
      <w:rFonts w:ascii="Times New Roman" w:hAnsi="Times New Roman" w:cs="Times New Roman" w:hint="default"/>
      <w:b/>
      <w:bCs/>
      <w:i/>
      <w:iCs/>
      <w:color w:val="000000"/>
      <w:sz w:val="28"/>
      <w:szCs w:val="28"/>
    </w:rPr>
  </w:style>
  <w:style w:type="character" w:customStyle="1" w:styleId="t286pc">
    <w:name w:val="t286pc"/>
    <w:basedOn w:val="DefaultParagraphFont"/>
  </w:style>
  <w:style w:type="character" w:customStyle="1" w:styleId="vkekvd">
    <w:name w:val="vkekv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8606">
      <w:bodyDiv w:val="1"/>
      <w:marLeft w:val="0"/>
      <w:marRight w:val="0"/>
      <w:marTop w:val="0"/>
      <w:marBottom w:val="0"/>
      <w:divBdr>
        <w:top w:val="none" w:sz="0" w:space="0" w:color="auto"/>
        <w:left w:val="none" w:sz="0" w:space="0" w:color="auto"/>
        <w:bottom w:val="none" w:sz="0" w:space="0" w:color="auto"/>
        <w:right w:val="none" w:sz="0" w:space="0" w:color="auto"/>
      </w:divBdr>
    </w:div>
    <w:div w:id="1149595894">
      <w:bodyDiv w:val="1"/>
      <w:marLeft w:val="0"/>
      <w:marRight w:val="0"/>
      <w:marTop w:val="0"/>
      <w:marBottom w:val="0"/>
      <w:divBdr>
        <w:top w:val="none" w:sz="0" w:space="0" w:color="auto"/>
        <w:left w:val="none" w:sz="0" w:space="0" w:color="auto"/>
        <w:bottom w:val="none" w:sz="0" w:space="0" w:color="auto"/>
        <w:right w:val="none" w:sz="0" w:space="0" w:color="auto"/>
      </w:divBdr>
    </w:div>
    <w:div w:id="1413894986">
      <w:bodyDiv w:val="1"/>
      <w:marLeft w:val="0"/>
      <w:marRight w:val="0"/>
      <w:marTop w:val="0"/>
      <w:marBottom w:val="0"/>
      <w:divBdr>
        <w:top w:val="none" w:sz="0" w:space="0" w:color="auto"/>
        <w:left w:val="none" w:sz="0" w:space="0" w:color="auto"/>
        <w:bottom w:val="none" w:sz="0" w:space="0" w:color="auto"/>
        <w:right w:val="none" w:sz="0" w:space="0" w:color="auto"/>
      </w:divBdr>
    </w:div>
    <w:div w:id="1613127156">
      <w:bodyDiv w:val="1"/>
      <w:marLeft w:val="0"/>
      <w:marRight w:val="0"/>
      <w:marTop w:val="0"/>
      <w:marBottom w:val="0"/>
      <w:divBdr>
        <w:top w:val="none" w:sz="0" w:space="0" w:color="auto"/>
        <w:left w:val="none" w:sz="0" w:space="0" w:color="auto"/>
        <w:bottom w:val="none" w:sz="0" w:space="0" w:color="auto"/>
        <w:right w:val="none" w:sz="0" w:space="0" w:color="auto"/>
      </w:divBdr>
    </w:div>
    <w:div w:id="1748914838">
      <w:bodyDiv w:val="1"/>
      <w:marLeft w:val="0"/>
      <w:marRight w:val="0"/>
      <w:marTop w:val="0"/>
      <w:marBottom w:val="0"/>
      <w:divBdr>
        <w:top w:val="none" w:sz="0" w:space="0" w:color="auto"/>
        <w:left w:val="none" w:sz="0" w:space="0" w:color="auto"/>
        <w:bottom w:val="none" w:sz="0" w:space="0" w:color="auto"/>
        <w:right w:val="none" w:sz="0" w:space="0" w:color="auto"/>
      </w:divBdr>
    </w:div>
    <w:div w:id="195744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67D19D67-AACA-4B24-A857-050223778601}"/>
</file>

<file path=customXml/itemProps2.xml><?xml version="1.0" encoding="utf-8"?>
<ds:datastoreItem xmlns:ds="http://schemas.openxmlformats.org/officeDocument/2006/customXml" ds:itemID="{F0A47CDC-F8CD-44A0-ABB3-D159EE81355E}"/>
</file>

<file path=customXml/itemProps3.xml><?xml version="1.0" encoding="utf-8"?>
<ds:datastoreItem xmlns:ds="http://schemas.openxmlformats.org/officeDocument/2006/customXml" ds:itemID="{5F1360AC-FD80-49DC-A6EC-B5A99FE45281}"/>
</file>

<file path=docProps/app.xml><?xml version="1.0" encoding="utf-8"?>
<Properties xmlns="http://schemas.openxmlformats.org/officeDocument/2006/extended-properties" xmlns:vt="http://schemas.openxmlformats.org/officeDocument/2006/docPropsVTypes">
  <Template>Normal</Template>
  <TotalTime>1747</TotalTime>
  <Pages>15</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2025-10-08T06:43:00Z</dcterms:created>
  <dcterms:modified xsi:type="dcterms:W3CDTF">2025-11-07T07:45:00Z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